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BA765" w14:textId="77777777" w:rsidR="00B16587" w:rsidRPr="001003F6" w:rsidRDefault="00B16587" w:rsidP="00B16587">
      <w:pPr>
        <w:pStyle w:val="NoSpacing"/>
        <w:ind w:left="5760"/>
        <w:rPr>
          <w:rFonts w:ascii="Times New Roman" w:hAnsi="Times New Roman" w:cs="Times New Roman"/>
        </w:rPr>
      </w:pPr>
      <w:r w:rsidRPr="001003F6">
        <w:rPr>
          <w:rFonts w:ascii="Times New Roman" w:hAnsi="Times New Roman" w:cs="Times New Roman"/>
        </w:rPr>
        <w:t>Laura Ann Arnold</w:t>
      </w:r>
    </w:p>
    <w:p w14:paraId="6991B684" w14:textId="77777777" w:rsidR="00B16587" w:rsidRPr="001003F6" w:rsidRDefault="00B16587" w:rsidP="00B16587">
      <w:pPr>
        <w:pStyle w:val="NoSpacing"/>
        <w:ind w:left="5760"/>
        <w:rPr>
          <w:rFonts w:ascii="Times New Roman" w:hAnsi="Times New Roman" w:cs="Times New Roman"/>
        </w:rPr>
      </w:pPr>
      <w:r w:rsidRPr="001003F6">
        <w:rPr>
          <w:rFonts w:ascii="Times New Roman" w:hAnsi="Times New Roman" w:cs="Times New Roman"/>
        </w:rPr>
        <w:t>545 E. Eleventh Street</w:t>
      </w:r>
    </w:p>
    <w:p w14:paraId="1613C44A" w14:textId="77777777" w:rsidR="00B16587" w:rsidRPr="001003F6" w:rsidRDefault="00B16587" w:rsidP="00B16587">
      <w:pPr>
        <w:pStyle w:val="NoSpacing"/>
        <w:ind w:left="5760"/>
        <w:rPr>
          <w:rFonts w:ascii="Times New Roman" w:hAnsi="Times New Roman" w:cs="Times New Roman"/>
        </w:rPr>
      </w:pPr>
      <w:r w:rsidRPr="001003F6">
        <w:rPr>
          <w:rFonts w:ascii="Times New Roman" w:hAnsi="Times New Roman" w:cs="Times New Roman"/>
        </w:rPr>
        <w:t>Indianapolis, I</w:t>
      </w:r>
      <w:r>
        <w:rPr>
          <w:rFonts w:ascii="Times New Roman" w:hAnsi="Times New Roman" w:cs="Times New Roman"/>
        </w:rPr>
        <w:t xml:space="preserve">ndiana </w:t>
      </w:r>
      <w:r w:rsidRPr="001003F6">
        <w:rPr>
          <w:rFonts w:ascii="Times New Roman" w:hAnsi="Times New Roman" w:cs="Times New Roman"/>
        </w:rPr>
        <w:t xml:space="preserve"> 46202-2627</w:t>
      </w:r>
    </w:p>
    <w:p w14:paraId="0F5E18A9" w14:textId="77777777" w:rsidR="00B16587" w:rsidRPr="001003F6" w:rsidRDefault="00B16587" w:rsidP="00B16587">
      <w:pPr>
        <w:pStyle w:val="NoSpacing"/>
        <w:ind w:left="5760"/>
        <w:rPr>
          <w:rFonts w:ascii="Times New Roman" w:hAnsi="Times New Roman" w:cs="Times New Roman"/>
        </w:rPr>
      </w:pPr>
      <w:r w:rsidRPr="001003F6">
        <w:rPr>
          <w:rFonts w:ascii="Times New Roman" w:hAnsi="Times New Roman" w:cs="Times New Roman"/>
        </w:rPr>
        <w:t>(317) 635-1701</w:t>
      </w:r>
    </w:p>
    <w:p w14:paraId="27E4D3B4" w14:textId="77777777" w:rsidR="00B16587" w:rsidRPr="001003F6" w:rsidRDefault="00B16587" w:rsidP="00B16587">
      <w:pPr>
        <w:pStyle w:val="NoSpacing"/>
        <w:ind w:left="5760"/>
        <w:rPr>
          <w:rFonts w:ascii="Times New Roman" w:hAnsi="Times New Roman" w:cs="Times New Roman"/>
        </w:rPr>
      </w:pPr>
      <w:r w:rsidRPr="001003F6">
        <w:rPr>
          <w:rFonts w:ascii="Times New Roman" w:hAnsi="Times New Roman" w:cs="Times New Roman"/>
        </w:rPr>
        <w:t>(317) 503-5123 cell</w:t>
      </w:r>
    </w:p>
    <w:p w14:paraId="109A5EBC" w14:textId="77777777" w:rsidR="00B16587" w:rsidRPr="001003F6" w:rsidRDefault="00B16587" w:rsidP="00B16587">
      <w:pPr>
        <w:pStyle w:val="NoSpacing"/>
        <w:ind w:left="5760"/>
        <w:rPr>
          <w:rFonts w:ascii="Times New Roman" w:hAnsi="Times New Roman" w:cs="Times New Roman"/>
        </w:rPr>
      </w:pPr>
      <w:hyperlink r:id="rId5" w:history="1">
        <w:r w:rsidRPr="007E63DE">
          <w:rPr>
            <w:rStyle w:val="Hyperlink"/>
            <w:rFonts w:ascii="Times New Roman" w:hAnsi="Times New Roman" w:cs="Times New Roman"/>
          </w:rPr>
          <w:t>Laura.Arnold@IndianaDG.net</w:t>
        </w:r>
      </w:hyperlink>
      <w:r w:rsidRPr="001003F6">
        <w:rPr>
          <w:rFonts w:ascii="Times New Roman" w:hAnsi="Times New Roman" w:cs="Times New Roman"/>
        </w:rPr>
        <w:t xml:space="preserve"> </w:t>
      </w:r>
    </w:p>
    <w:p w14:paraId="0D310A92" w14:textId="77777777" w:rsidR="00B16587" w:rsidRPr="001003F6" w:rsidRDefault="00B16587" w:rsidP="00B16587">
      <w:pPr>
        <w:pStyle w:val="NoSpacing"/>
        <w:ind w:left="5760"/>
        <w:rPr>
          <w:rFonts w:ascii="Times New Roman" w:hAnsi="Times New Roman" w:cs="Times New Roman"/>
        </w:rPr>
      </w:pPr>
      <w:hyperlink r:id="rId6" w:history="1">
        <w:r w:rsidRPr="007E63DE">
          <w:rPr>
            <w:rStyle w:val="Hyperlink"/>
            <w:rFonts w:ascii="Times New Roman" w:hAnsi="Times New Roman" w:cs="Times New Roman"/>
          </w:rPr>
          <w:t>Laura.Arnold@thearnoldgroup.biz</w:t>
        </w:r>
      </w:hyperlink>
    </w:p>
    <w:p w14:paraId="2D6F4653" w14:textId="77777777" w:rsidR="00B16587" w:rsidRDefault="00B16587" w:rsidP="00B16587">
      <w:pPr>
        <w:pStyle w:val="NoSpacing"/>
        <w:rPr>
          <w:rFonts w:ascii="Times New Roman" w:hAnsi="Times New Roman" w:cs="Times New Roman"/>
        </w:rPr>
      </w:pPr>
    </w:p>
    <w:p w14:paraId="20E9BC57" w14:textId="77777777" w:rsidR="00B16587" w:rsidRPr="001003F6" w:rsidRDefault="00BC50AB" w:rsidP="00B16587">
      <w:pPr>
        <w:pStyle w:val="NoSpacing"/>
        <w:rPr>
          <w:rFonts w:ascii="Times New Roman" w:hAnsi="Times New Roman" w:cs="Times New Roman"/>
        </w:rPr>
      </w:pPr>
      <w:r>
        <w:rPr>
          <w:rFonts w:ascii="Times New Roman" w:hAnsi="Times New Roman" w:cs="Times New Roman"/>
        </w:rPr>
        <w:t>May 1, 2017</w:t>
      </w:r>
    </w:p>
    <w:p w14:paraId="41EB1572" w14:textId="77777777" w:rsidR="00B16587" w:rsidRPr="001003F6" w:rsidRDefault="00B16587" w:rsidP="00B16587">
      <w:pPr>
        <w:pStyle w:val="NoSpacing"/>
        <w:rPr>
          <w:rFonts w:ascii="Times New Roman" w:hAnsi="Times New Roman" w:cs="Times New Roman"/>
        </w:rPr>
      </w:pPr>
    </w:p>
    <w:p w14:paraId="72A286F6" w14:textId="77777777" w:rsidR="00B16587" w:rsidRDefault="00B16587" w:rsidP="00B16587">
      <w:pPr>
        <w:pStyle w:val="NoSpacing"/>
        <w:rPr>
          <w:rFonts w:ascii="Times New Roman" w:hAnsi="Times New Roman" w:cs="Times New Roman"/>
        </w:rPr>
      </w:pPr>
      <w:r w:rsidRPr="001003F6">
        <w:rPr>
          <w:rFonts w:ascii="Times New Roman" w:hAnsi="Times New Roman" w:cs="Times New Roman"/>
        </w:rPr>
        <w:t>Governor Eric Holcomb</w:t>
      </w:r>
    </w:p>
    <w:p w14:paraId="60206F52"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State House</w:t>
      </w:r>
    </w:p>
    <w:p w14:paraId="575B829E"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Indianapolis, I</w:t>
      </w:r>
      <w:r>
        <w:rPr>
          <w:rFonts w:ascii="Times New Roman" w:hAnsi="Times New Roman" w:cs="Times New Roman"/>
        </w:rPr>
        <w:t xml:space="preserve">ndiana </w:t>
      </w:r>
      <w:r w:rsidRPr="001003F6">
        <w:rPr>
          <w:rFonts w:ascii="Times New Roman" w:hAnsi="Times New Roman" w:cs="Times New Roman"/>
        </w:rPr>
        <w:t xml:space="preserve"> 46204</w:t>
      </w:r>
    </w:p>
    <w:p w14:paraId="6CAEBB77" w14:textId="77777777" w:rsidR="00B16587" w:rsidRPr="001003F6" w:rsidRDefault="00B16587" w:rsidP="00B16587">
      <w:pPr>
        <w:pStyle w:val="NoSpacing"/>
        <w:rPr>
          <w:rFonts w:ascii="Times New Roman" w:hAnsi="Times New Roman" w:cs="Times New Roman"/>
        </w:rPr>
      </w:pPr>
    </w:p>
    <w:p w14:paraId="065ABCCB" w14:textId="77777777" w:rsidR="00B16587" w:rsidRPr="001003F6" w:rsidRDefault="00B16587" w:rsidP="00B16587">
      <w:pPr>
        <w:pStyle w:val="NoSpacing"/>
        <w:ind w:left="720"/>
        <w:rPr>
          <w:rFonts w:ascii="Times New Roman" w:hAnsi="Times New Roman" w:cs="Times New Roman"/>
          <w:b/>
        </w:rPr>
      </w:pPr>
      <w:r w:rsidRPr="001003F6">
        <w:rPr>
          <w:rFonts w:ascii="Times New Roman" w:hAnsi="Times New Roman" w:cs="Times New Roman"/>
          <w:b/>
        </w:rPr>
        <w:t xml:space="preserve">RE: </w:t>
      </w:r>
      <w:r>
        <w:rPr>
          <w:rFonts w:ascii="Times New Roman" w:hAnsi="Times New Roman" w:cs="Times New Roman"/>
          <w:b/>
        </w:rPr>
        <w:t>(</w:t>
      </w:r>
      <w:r w:rsidRPr="001003F6">
        <w:rPr>
          <w:rFonts w:ascii="Times New Roman" w:hAnsi="Times New Roman" w:cs="Times New Roman"/>
          <w:b/>
        </w:rPr>
        <w:t>1</w:t>
      </w:r>
      <w:r>
        <w:rPr>
          <w:rFonts w:ascii="Times New Roman" w:hAnsi="Times New Roman" w:cs="Times New Roman"/>
          <w:b/>
        </w:rPr>
        <w:t>)</w:t>
      </w:r>
      <w:r w:rsidRPr="001003F6">
        <w:rPr>
          <w:rFonts w:ascii="Times New Roman" w:hAnsi="Times New Roman" w:cs="Times New Roman"/>
          <w:b/>
        </w:rPr>
        <w:t xml:space="preserve"> Veto S</w:t>
      </w:r>
      <w:r>
        <w:rPr>
          <w:rFonts w:ascii="Times New Roman" w:hAnsi="Times New Roman" w:cs="Times New Roman"/>
          <w:b/>
        </w:rPr>
        <w:t>B</w:t>
      </w:r>
      <w:r w:rsidRPr="001003F6">
        <w:rPr>
          <w:rFonts w:ascii="Times New Roman" w:hAnsi="Times New Roman" w:cs="Times New Roman"/>
          <w:b/>
        </w:rPr>
        <w:t xml:space="preserve"> 309; </w:t>
      </w:r>
      <w:r>
        <w:rPr>
          <w:rFonts w:ascii="Times New Roman" w:hAnsi="Times New Roman" w:cs="Times New Roman"/>
          <w:b/>
        </w:rPr>
        <w:t>(</w:t>
      </w:r>
      <w:r w:rsidRPr="001003F6">
        <w:rPr>
          <w:rFonts w:ascii="Times New Roman" w:hAnsi="Times New Roman" w:cs="Times New Roman"/>
          <w:b/>
        </w:rPr>
        <w:t>2</w:t>
      </w:r>
      <w:r>
        <w:rPr>
          <w:rFonts w:ascii="Times New Roman" w:hAnsi="Times New Roman" w:cs="Times New Roman"/>
          <w:b/>
        </w:rPr>
        <w:t>)</w:t>
      </w:r>
      <w:r w:rsidRPr="001003F6">
        <w:rPr>
          <w:rFonts w:ascii="Times New Roman" w:hAnsi="Times New Roman" w:cs="Times New Roman"/>
          <w:b/>
        </w:rPr>
        <w:t xml:space="preserve"> Ask IURC to Do Cost-Benefit Study of Net Metering; and </w:t>
      </w:r>
      <w:r>
        <w:rPr>
          <w:rFonts w:ascii="Times New Roman" w:hAnsi="Times New Roman" w:cs="Times New Roman"/>
          <w:b/>
        </w:rPr>
        <w:t>(</w:t>
      </w:r>
      <w:r w:rsidRPr="001003F6">
        <w:rPr>
          <w:rFonts w:ascii="Times New Roman" w:hAnsi="Times New Roman" w:cs="Times New Roman"/>
          <w:b/>
        </w:rPr>
        <w:t>3</w:t>
      </w:r>
      <w:r>
        <w:rPr>
          <w:rFonts w:ascii="Times New Roman" w:hAnsi="Times New Roman" w:cs="Times New Roman"/>
          <w:b/>
        </w:rPr>
        <w:t>)</w:t>
      </w:r>
      <w:r w:rsidRPr="001003F6">
        <w:rPr>
          <w:rFonts w:ascii="Times New Roman" w:hAnsi="Times New Roman" w:cs="Times New Roman"/>
          <w:b/>
        </w:rPr>
        <w:t xml:space="preserve"> Create State Energy Policy Process with </w:t>
      </w:r>
      <w:r w:rsidRPr="001003F6">
        <w:rPr>
          <w:rFonts w:ascii="Times New Roman" w:hAnsi="Times New Roman" w:cs="Times New Roman"/>
          <w:b/>
          <w:u w:val="single"/>
        </w:rPr>
        <w:t>ALL</w:t>
      </w:r>
      <w:r w:rsidRPr="001003F6">
        <w:rPr>
          <w:rFonts w:ascii="Times New Roman" w:hAnsi="Times New Roman" w:cs="Times New Roman"/>
          <w:b/>
        </w:rPr>
        <w:t xml:space="preserve"> Stakeholders</w:t>
      </w:r>
    </w:p>
    <w:p w14:paraId="62097543" w14:textId="77777777" w:rsidR="00B16587" w:rsidRPr="001003F6" w:rsidRDefault="00B16587" w:rsidP="00B16587">
      <w:pPr>
        <w:pStyle w:val="NoSpacing"/>
        <w:rPr>
          <w:rFonts w:ascii="Times New Roman" w:hAnsi="Times New Roman" w:cs="Times New Roman"/>
        </w:rPr>
      </w:pPr>
    </w:p>
    <w:p w14:paraId="1FE46A0D"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Dear Governor Holcomb:</w:t>
      </w:r>
    </w:p>
    <w:p w14:paraId="18C53EFB" w14:textId="77777777" w:rsidR="00B16587" w:rsidRPr="001003F6" w:rsidRDefault="00B16587" w:rsidP="00B16587">
      <w:pPr>
        <w:pStyle w:val="NoSpacing"/>
        <w:rPr>
          <w:rFonts w:ascii="Times New Roman" w:hAnsi="Times New Roman" w:cs="Times New Roman"/>
        </w:rPr>
      </w:pPr>
    </w:p>
    <w:p w14:paraId="620DD6E2" w14:textId="77777777" w:rsidR="00B16587" w:rsidRPr="001003F6" w:rsidRDefault="00B16587" w:rsidP="00B16587">
      <w:pPr>
        <w:pStyle w:val="NoSpacing"/>
        <w:rPr>
          <w:rFonts w:ascii="Times New Roman" w:hAnsi="Times New Roman" w:cs="Times New Roman"/>
        </w:rPr>
      </w:pPr>
      <w:r>
        <w:rPr>
          <w:rFonts w:ascii="Times New Roman" w:hAnsi="Times New Roman" w:cs="Times New Roman"/>
        </w:rPr>
        <w:t>Indiana Distributed Energy Alliance (Indiana DG), a non-profit corporation with a broad coalition effort amongst businesses, individuals, elected officials, and other organizations, respectfully requests your help and leadership in advancing energy policy for the State of Indiana.  First, we ask that you veto Senate Bill 309.  Second, we ask that you direct the Indiana Utility Regulatory Commission (IURC) to do a cost-benefit study of net metering as it is the agency with the technical expertise most qualified to examine this important policy enacted under the Daniel administration.  Finally, we ask tha</w:t>
      </w:r>
      <w:r>
        <w:rPr>
          <w:rFonts w:ascii="Times New Roman" w:hAnsi="Times New Roman" w:cs="Times New Roman"/>
        </w:rPr>
        <w:t>t you lead Indiana with a robust</w:t>
      </w:r>
      <w:r>
        <w:rPr>
          <w:rFonts w:ascii="Times New Roman" w:hAnsi="Times New Roman" w:cs="Times New Roman"/>
        </w:rPr>
        <w:t xml:space="preserve"> state energy policy process that involves all stakeholders. </w:t>
      </w:r>
    </w:p>
    <w:p w14:paraId="47F982AE" w14:textId="77777777" w:rsidR="00B16587" w:rsidRPr="001003F6" w:rsidRDefault="00B16587" w:rsidP="00B16587">
      <w:pPr>
        <w:pStyle w:val="NoSpacing"/>
        <w:rPr>
          <w:rFonts w:ascii="Times New Roman" w:hAnsi="Times New Roman" w:cs="Times New Roman"/>
        </w:rPr>
      </w:pPr>
    </w:p>
    <w:p w14:paraId="4A171A3D" w14:textId="77777777" w:rsidR="00B16587" w:rsidRPr="001003F6" w:rsidRDefault="00B16587" w:rsidP="00B16587">
      <w:pPr>
        <w:pStyle w:val="NoSpacing"/>
        <w:numPr>
          <w:ilvl w:val="0"/>
          <w:numId w:val="1"/>
        </w:numPr>
        <w:rPr>
          <w:rFonts w:ascii="Times New Roman" w:hAnsi="Times New Roman" w:cs="Times New Roman"/>
          <w:b/>
          <w:sz w:val="28"/>
          <w:szCs w:val="28"/>
        </w:rPr>
      </w:pPr>
      <w:r w:rsidRPr="001003F6">
        <w:rPr>
          <w:rFonts w:ascii="Times New Roman" w:hAnsi="Times New Roman" w:cs="Times New Roman"/>
          <w:b/>
          <w:sz w:val="28"/>
          <w:szCs w:val="28"/>
        </w:rPr>
        <w:t>Veto S</w:t>
      </w:r>
      <w:r>
        <w:rPr>
          <w:rFonts w:ascii="Times New Roman" w:hAnsi="Times New Roman" w:cs="Times New Roman"/>
          <w:b/>
          <w:sz w:val="28"/>
          <w:szCs w:val="28"/>
        </w:rPr>
        <w:t>enate Bill</w:t>
      </w:r>
      <w:r w:rsidRPr="001003F6">
        <w:rPr>
          <w:rFonts w:ascii="Times New Roman" w:hAnsi="Times New Roman" w:cs="Times New Roman"/>
          <w:b/>
          <w:sz w:val="28"/>
          <w:szCs w:val="28"/>
        </w:rPr>
        <w:t xml:space="preserve"> 309</w:t>
      </w:r>
    </w:p>
    <w:p w14:paraId="73566582" w14:textId="77777777" w:rsidR="00B16587" w:rsidRPr="001003F6" w:rsidRDefault="00B16587" w:rsidP="00B16587">
      <w:pPr>
        <w:pStyle w:val="NoSpacing"/>
        <w:rPr>
          <w:rFonts w:ascii="Times New Roman" w:hAnsi="Times New Roman" w:cs="Times New Roman"/>
        </w:rPr>
      </w:pPr>
    </w:p>
    <w:p w14:paraId="548113C7"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First, I respectfully request that you veto S</w:t>
      </w:r>
      <w:r>
        <w:rPr>
          <w:rFonts w:ascii="Times New Roman" w:hAnsi="Times New Roman" w:cs="Times New Roman"/>
        </w:rPr>
        <w:t>enate Bill</w:t>
      </w:r>
      <w:r w:rsidRPr="001003F6">
        <w:rPr>
          <w:rFonts w:ascii="Times New Roman" w:hAnsi="Times New Roman" w:cs="Times New Roman"/>
        </w:rPr>
        <w:t xml:space="preserve"> 309. </w:t>
      </w:r>
      <w:r>
        <w:rPr>
          <w:rFonts w:ascii="Times New Roman" w:hAnsi="Times New Roman" w:cs="Times New Roman"/>
        </w:rPr>
        <w:t xml:space="preserve">On Monday, April 17, 2017, a group of business members with IndianaDG and I met with </w:t>
      </w:r>
      <w:r w:rsidRPr="001003F6">
        <w:rPr>
          <w:rFonts w:ascii="Times New Roman" w:hAnsi="Times New Roman" w:cs="Times New Roman"/>
        </w:rPr>
        <w:t>Rebecca Holwerda</w:t>
      </w:r>
      <w:r>
        <w:rPr>
          <w:rFonts w:ascii="Times New Roman" w:hAnsi="Times New Roman" w:cs="Times New Roman"/>
        </w:rPr>
        <w:t xml:space="preserve">, Policy Director and Legislative Affairs for the Office of the Governor. </w:t>
      </w:r>
      <w:r w:rsidRPr="001003F6">
        <w:rPr>
          <w:rFonts w:ascii="Times New Roman" w:hAnsi="Times New Roman" w:cs="Times New Roman"/>
        </w:rPr>
        <w:t xml:space="preserve"> At that time, I </w:t>
      </w:r>
      <w:r>
        <w:rPr>
          <w:rFonts w:ascii="Times New Roman" w:hAnsi="Times New Roman" w:cs="Times New Roman"/>
        </w:rPr>
        <w:t xml:space="preserve">gave a presentation providing </w:t>
      </w:r>
      <w:r w:rsidRPr="001003F6">
        <w:rPr>
          <w:rFonts w:ascii="Times New Roman" w:hAnsi="Times New Roman" w:cs="Times New Roman"/>
        </w:rPr>
        <w:t>background and information concerning our request for you to veto S</w:t>
      </w:r>
      <w:r>
        <w:rPr>
          <w:rFonts w:ascii="Times New Roman" w:hAnsi="Times New Roman" w:cs="Times New Roman"/>
        </w:rPr>
        <w:t>B</w:t>
      </w:r>
      <w:r w:rsidRPr="001003F6">
        <w:rPr>
          <w:rFonts w:ascii="Times New Roman" w:hAnsi="Times New Roman" w:cs="Times New Roman"/>
        </w:rPr>
        <w:t xml:space="preserve"> 309. </w:t>
      </w:r>
      <w:r>
        <w:rPr>
          <w:rFonts w:ascii="Times New Roman" w:hAnsi="Times New Roman" w:cs="Times New Roman"/>
        </w:rPr>
        <w:t xml:space="preserve"> I’d like to clarify a number of issues that will further demonstrate why a veto of SB 309 is the right decision for your Administration.  </w:t>
      </w:r>
    </w:p>
    <w:p w14:paraId="76E09454" w14:textId="77777777" w:rsidR="00B16587" w:rsidRPr="001003F6" w:rsidRDefault="00B16587" w:rsidP="00B16587">
      <w:pPr>
        <w:pStyle w:val="NoSpacing"/>
        <w:rPr>
          <w:rFonts w:ascii="Times New Roman" w:hAnsi="Times New Roman" w:cs="Times New Roman"/>
        </w:rPr>
      </w:pPr>
    </w:p>
    <w:p w14:paraId="20A74EF5" w14:textId="6841BD83" w:rsidR="00B16587" w:rsidRPr="001003F6" w:rsidRDefault="00B16587" w:rsidP="00B16587">
      <w:pPr>
        <w:pStyle w:val="NoSpacing"/>
        <w:rPr>
          <w:rFonts w:ascii="Times New Roman" w:hAnsi="Times New Roman" w:cs="Times New Roman"/>
        </w:rPr>
      </w:pPr>
      <w:r>
        <w:rPr>
          <w:rFonts w:ascii="Times New Roman" w:hAnsi="Times New Roman" w:cs="Times New Roman"/>
        </w:rPr>
        <w:t xml:space="preserve">SB 309 threatens </w:t>
      </w:r>
      <w:r w:rsidRPr="001003F6">
        <w:rPr>
          <w:rFonts w:ascii="Times New Roman" w:hAnsi="Times New Roman" w:cs="Times New Roman"/>
        </w:rPr>
        <w:t xml:space="preserve">the ability of Hoosiers to install and to recoup the cost of </w:t>
      </w:r>
      <w:r>
        <w:rPr>
          <w:rFonts w:ascii="Times New Roman" w:hAnsi="Times New Roman" w:cs="Times New Roman"/>
        </w:rPr>
        <w:t>an</w:t>
      </w:r>
      <w:r w:rsidRPr="001003F6">
        <w:rPr>
          <w:rFonts w:ascii="Times New Roman" w:hAnsi="Times New Roman" w:cs="Times New Roman"/>
        </w:rPr>
        <w:t xml:space="preserve"> investment in solar, small wind or other </w:t>
      </w:r>
      <w:r>
        <w:rPr>
          <w:rFonts w:ascii="Times New Roman" w:hAnsi="Times New Roman" w:cs="Times New Roman"/>
        </w:rPr>
        <w:t>distributed generation</w:t>
      </w:r>
      <w:r w:rsidRPr="001003F6">
        <w:rPr>
          <w:rFonts w:ascii="Times New Roman" w:hAnsi="Times New Roman" w:cs="Times New Roman"/>
        </w:rPr>
        <w:t xml:space="preserve"> energy system</w:t>
      </w:r>
      <w:r>
        <w:rPr>
          <w:rFonts w:ascii="Times New Roman" w:hAnsi="Times New Roman" w:cs="Times New Roman"/>
        </w:rPr>
        <w:t>s</w:t>
      </w:r>
      <w:r w:rsidRPr="001003F6">
        <w:rPr>
          <w:rFonts w:ascii="Times New Roman" w:hAnsi="Times New Roman" w:cs="Times New Roman"/>
        </w:rPr>
        <w:t xml:space="preserve">. </w:t>
      </w:r>
      <w:r>
        <w:rPr>
          <w:rFonts w:ascii="Times New Roman" w:hAnsi="Times New Roman" w:cs="Times New Roman"/>
        </w:rPr>
        <w:t>Under SB 309, a</w:t>
      </w:r>
      <w:r w:rsidRPr="001003F6">
        <w:rPr>
          <w:rFonts w:ascii="Times New Roman" w:hAnsi="Times New Roman" w:cs="Times New Roman"/>
        </w:rPr>
        <w:t xml:space="preserve">fter </w:t>
      </w:r>
      <w:r>
        <w:rPr>
          <w:rFonts w:ascii="Times New Roman" w:hAnsi="Times New Roman" w:cs="Times New Roman"/>
        </w:rPr>
        <w:t>December 31, 2017</w:t>
      </w:r>
      <w:r w:rsidRPr="001003F6">
        <w:rPr>
          <w:rFonts w:ascii="Times New Roman" w:hAnsi="Times New Roman" w:cs="Times New Roman"/>
        </w:rPr>
        <w:t xml:space="preserve">, investor owned electric utility customers will have </w:t>
      </w:r>
      <w:r>
        <w:rPr>
          <w:rFonts w:ascii="Times New Roman" w:hAnsi="Times New Roman" w:cs="Times New Roman"/>
        </w:rPr>
        <w:t xml:space="preserve">a shorter amount of time to (1) </w:t>
      </w:r>
      <w:r w:rsidRPr="001003F6">
        <w:rPr>
          <w:rFonts w:ascii="Times New Roman" w:hAnsi="Times New Roman" w:cs="Times New Roman"/>
        </w:rPr>
        <w:t>recoup the cost of their personal investment in an energy system for their home or business</w:t>
      </w:r>
      <w:r>
        <w:rPr>
          <w:rFonts w:ascii="Times New Roman" w:hAnsi="Times New Roman" w:cs="Times New Roman"/>
        </w:rPr>
        <w:t>,</w:t>
      </w:r>
      <w:r w:rsidRPr="001003F6">
        <w:rPr>
          <w:rFonts w:ascii="Times New Roman" w:hAnsi="Times New Roman" w:cs="Times New Roman"/>
        </w:rPr>
        <w:t xml:space="preserve"> and</w:t>
      </w:r>
      <w:r>
        <w:rPr>
          <w:rFonts w:ascii="Times New Roman" w:hAnsi="Times New Roman" w:cs="Times New Roman"/>
        </w:rPr>
        <w:t xml:space="preserve"> (2) </w:t>
      </w:r>
      <w:r w:rsidRPr="001003F6">
        <w:rPr>
          <w:rFonts w:ascii="Times New Roman" w:hAnsi="Times New Roman" w:cs="Times New Roman"/>
        </w:rPr>
        <w:t>enjoy continued energy savings for the duration of the life of this investment</w:t>
      </w:r>
      <w:r>
        <w:rPr>
          <w:rFonts w:ascii="Times New Roman" w:hAnsi="Times New Roman" w:cs="Times New Roman"/>
        </w:rPr>
        <w:t>.</w:t>
      </w:r>
      <w:r w:rsidR="000D4921">
        <w:rPr>
          <w:rFonts w:ascii="Times New Roman" w:hAnsi="Times New Roman" w:cs="Times New Roman"/>
        </w:rPr>
        <w:t xml:space="preserve"> If prospective solar customers merely recoup the cost of their investment without time to enjoy the financial benefits, the majority of them just won’t GO SOLAR.</w:t>
      </w:r>
    </w:p>
    <w:p w14:paraId="4D8CCAF8" w14:textId="77777777" w:rsidR="00B16587" w:rsidRPr="001003F6" w:rsidRDefault="00B16587" w:rsidP="00B16587">
      <w:pPr>
        <w:pStyle w:val="NoSpacing"/>
        <w:ind w:left="720"/>
        <w:rPr>
          <w:rFonts w:ascii="Times New Roman" w:hAnsi="Times New Roman" w:cs="Times New Roman"/>
        </w:rPr>
      </w:pPr>
    </w:p>
    <w:p w14:paraId="2D536E40" w14:textId="77777777" w:rsidR="00B16587" w:rsidRPr="001003F6" w:rsidRDefault="00B16587" w:rsidP="00B16587">
      <w:pPr>
        <w:pStyle w:val="NoSpacing"/>
        <w:rPr>
          <w:rFonts w:ascii="Times New Roman" w:hAnsi="Times New Roman" w:cs="Times New Roman"/>
        </w:rPr>
      </w:pPr>
      <w:r>
        <w:rPr>
          <w:rFonts w:ascii="Times New Roman" w:hAnsi="Times New Roman" w:cs="Times New Roman"/>
        </w:rPr>
        <w:t>T</w:t>
      </w:r>
      <w:r w:rsidRPr="001003F6">
        <w:rPr>
          <w:rFonts w:ascii="Times New Roman" w:hAnsi="Times New Roman" w:cs="Times New Roman"/>
        </w:rPr>
        <w:t>wo Indiana investor owned electric utilities</w:t>
      </w:r>
      <w:r>
        <w:rPr>
          <w:rFonts w:ascii="Times New Roman" w:hAnsi="Times New Roman" w:cs="Times New Roman"/>
        </w:rPr>
        <w:t xml:space="preserve">, </w:t>
      </w:r>
      <w:r w:rsidRPr="001003F6">
        <w:rPr>
          <w:rFonts w:ascii="Times New Roman" w:hAnsi="Times New Roman" w:cs="Times New Roman"/>
        </w:rPr>
        <w:t>Indianapolis Power and Light (IPL) and Northern Indiana Public Service Company (NIPSCO)</w:t>
      </w:r>
      <w:r>
        <w:rPr>
          <w:rFonts w:ascii="Times New Roman" w:hAnsi="Times New Roman" w:cs="Times New Roman"/>
        </w:rPr>
        <w:t>,</w:t>
      </w:r>
      <w:r w:rsidRPr="001003F6">
        <w:rPr>
          <w:rFonts w:ascii="Times New Roman" w:hAnsi="Times New Roman" w:cs="Times New Roman"/>
        </w:rPr>
        <w:t xml:space="preserve"> have already provided extensive incentives for solar and </w:t>
      </w:r>
      <w:r>
        <w:rPr>
          <w:rFonts w:ascii="Times New Roman" w:hAnsi="Times New Roman" w:cs="Times New Roman"/>
        </w:rPr>
        <w:t>distributed generation</w:t>
      </w:r>
      <w:r w:rsidRPr="001003F6">
        <w:rPr>
          <w:rFonts w:ascii="Times New Roman" w:hAnsi="Times New Roman" w:cs="Times New Roman"/>
        </w:rPr>
        <w:t xml:space="preserve"> through </w:t>
      </w:r>
      <w:r>
        <w:rPr>
          <w:rFonts w:ascii="Times New Roman" w:hAnsi="Times New Roman" w:cs="Times New Roman"/>
        </w:rPr>
        <w:t xml:space="preserve">a pricing mechanism called </w:t>
      </w:r>
      <w:r w:rsidRPr="001003F6">
        <w:rPr>
          <w:rFonts w:ascii="Times New Roman" w:hAnsi="Times New Roman" w:cs="Times New Roman"/>
        </w:rPr>
        <w:t>Voluntary Feed-in Tariff (VFIT</w:t>
      </w:r>
      <w:r>
        <w:rPr>
          <w:rFonts w:ascii="Times New Roman" w:hAnsi="Times New Roman" w:cs="Times New Roman"/>
        </w:rPr>
        <w:t xml:space="preserve"> or FIT</w:t>
      </w:r>
      <w:r w:rsidRPr="001003F6">
        <w:rPr>
          <w:rFonts w:ascii="Times New Roman" w:hAnsi="Times New Roman" w:cs="Times New Roman"/>
        </w:rPr>
        <w:t>) programs</w:t>
      </w:r>
      <w:r>
        <w:rPr>
          <w:rFonts w:ascii="Times New Roman" w:hAnsi="Times New Roman" w:cs="Times New Roman"/>
        </w:rPr>
        <w:t>.</w:t>
      </w:r>
      <w:r w:rsidRPr="001003F6">
        <w:rPr>
          <w:rFonts w:ascii="Times New Roman" w:hAnsi="Times New Roman" w:cs="Times New Roman"/>
        </w:rPr>
        <w:t xml:space="preserve"> I participated in all three of these cases before the IURC</w:t>
      </w:r>
      <w:r>
        <w:rPr>
          <w:rFonts w:ascii="Times New Roman" w:hAnsi="Times New Roman" w:cs="Times New Roman"/>
        </w:rPr>
        <w:t xml:space="preserve"> (</w:t>
      </w:r>
      <w:r w:rsidRPr="001003F6">
        <w:rPr>
          <w:rFonts w:ascii="Times New Roman" w:hAnsi="Times New Roman" w:cs="Times New Roman"/>
        </w:rPr>
        <w:t>Cause No</w:t>
      </w:r>
      <w:r>
        <w:rPr>
          <w:rFonts w:ascii="Times New Roman" w:hAnsi="Times New Roman" w:cs="Times New Roman"/>
        </w:rPr>
        <w:t>s</w:t>
      </w:r>
      <w:r w:rsidRPr="001003F6">
        <w:rPr>
          <w:rFonts w:ascii="Times New Roman" w:hAnsi="Times New Roman" w:cs="Times New Roman"/>
        </w:rPr>
        <w:t>. 44018</w:t>
      </w:r>
      <w:r>
        <w:rPr>
          <w:rFonts w:ascii="Times New Roman" w:hAnsi="Times New Roman" w:cs="Times New Roman"/>
        </w:rPr>
        <w:t xml:space="preserve">, </w:t>
      </w:r>
      <w:r w:rsidRPr="001003F6">
        <w:rPr>
          <w:rFonts w:ascii="Times New Roman" w:hAnsi="Times New Roman" w:cs="Times New Roman"/>
        </w:rPr>
        <w:t>43922</w:t>
      </w:r>
      <w:r>
        <w:rPr>
          <w:rFonts w:ascii="Times New Roman" w:hAnsi="Times New Roman" w:cs="Times New Roman"/>
        </w:rPr>
        <w:t>,</w:t>
      </w:r>
      <w:r w:rsidRPr="001003F6">
        <w:rPr>
          <w:rFonts w:ascii="Times New Roman" w:hAnsi="Times New Roman" w:cs="Times New Roman"/>
        </w:rPr>
        <w:t xml:space="preserve"> and</w:t>
      </w:r>
      <w:r>
        <w:rPr>
          <w:rFonts w:ascii="Times New Roman" w:hAnsi="Times New Roman" w:cs="Times New Roman"/>
        </w:rPr>
        <w:t xml:space="preserve"> 44393).  From those programs, (1) </w:t>
      </w:r>
      <w:r w:rsidRPr="001003F6">
        <w:rPr>
          <w:rFonts w:ascii="Times New Roman" w:hAnsi="Times New Roman" w:cs="Times New Roman"/>
        </w:rPr>
        <w:t>more than 100 MWs of voluntary FIT contracts with IPL and NIPSCO</w:t>
      </w:r>
      <w:r>
        <w:rPr>
          <w:rFonts w:ascii="Times New Roman" w:hAnsi="Times New Roman" w:cs="Times New Roman"/>
        </w:rPr>
        <w:t xml:space="preserve"> were produced; (2) </w:t>
      </w:r>
      <w:r w:rsidRPr="001003F6">
        <w:rPr>
          <w:rFonts w:ascii="Times New Roman" w:hAnsi="Times New Roman" w:cs="Times New Roman"/>
        </w:rPr>
        <w:t xml:space="preserve">IPL has 97 MWs of solar </w:t>
      </w:r>
      <w:r>
        <w:rPr>
          <w:rFonts w:ascii="Times New Roman" w:hAnsi="Times New Roman" w:cs="Times New Roman"/>
        </w:rPr>
        <w:t>photovoltaic (</w:t>
      </w:r>
      <w:r w:rsidRPr="001003F6">
        <w:rPr>
          <w:rFonts w:ascii="Times New Roman" w:hAnsi="Times New Roman" w:cs="Times New Roman"/>
        </w:rPr>
        <w:t>PV</w:t>
      </w:r>
      <w:r>
        <w:rPr>
          <w:rFonts w:ascii="Times New Roman" w:hAnsi="Times New Roman" w:cs="Times New Roman"/>
        </w:rPr>
        <w:t>)</w:t>
      </w:r>
      <w:r w:rsidRPr="001003F6">
        <w:rPr>
          <w:rFonts w:ascii="Times New Roman" w:hAnsi="Times New Roman" w:cs="Times New Roman"/>
        </w:rPr>
        <w:t xml:space="preserve"> FIT 15 year contracts </w:t>
      </w:r>
      <w:r>
        <w:rPr>
          <w:rFonts w:ascii="Times New Roman" w:hAnsi="Times New Roman" w:cs="Times New Roman"/>
        </w:rPr>
        <w:t>with</w:t>
      </w:r>
      <w:r w:rsidRPr="001003F6">
        <w:rPr>
          <w:rFonts w:ascii="Times New Roman" w:hAnsi="Times New Roman" w:cs="Times New Roman"/>
        </w:rPr>
        <w:t xml:space="preserve"> </w:t>
      </w:r>
      <w:r>
        <w:rPr>
          <w:rFonts w:ascii="Times New Roman" w:hAnsi="Times New Roman" w:cs="Times New Roman"/>
        </w:rPr>
        <w:t xml:space="preserve">payment to customers of </w:t>
      </w:r>
      <w:r w:rsidRPr="001003F6">
        <w:rPr>
          <w:rFonts w:ascii="Times New Roman" w:hAnsi="Times New Roman" w:cs="Times New Roman"/>
        </w:rPr>
        <w:t>$</w:t>
      </w:r>
      <w:r>
        <w:rPr>
          <w:rFonts w:ascii="Times New Roman" w:hAnsi="Times New Roman" w:cs="Times New Roman"/>
        </w:rPr>
        <w:t>0</w:t>
      </w:r>
      <w:r w:rsidRPr="001003F6">
        <w:rPr>
          <w:rFonts w:ascii="Times New Roman" w:hAnsi="Times New Roman" w:cs="Times New Roman"/>
        </w:rPr>
        <w:t>.20 to $</w:t>
      </w:r>
      <w:r>
        <w:rPr>
          <w:rFonts w:ascii="Times New Roman" w:hAnsi="Times New Roman" w:cs="Times New Roman"/>
        </w:rPr>
        <w:t>0</w:t>
      </w:r>
      <w:r w:rsidRPr="001003F6">
        <w:rPr>
          <w:rFonts w:ascii="Times New Roman" w:hAnsi="Times New Roman" w:cs="Times New Roman"/>
        </w:rPr>
        <w:t>.24/kWh</w:t>
      </w:r>
      <w:r>
        <w:rPr>
          <w:rFonts w:ascii="Times New Roman" w:hAnsi="Times New Roman" w:cs="Times New Roman"/>
        </w:rPr>
        <w:t xml:space="preserve">; (3) </w:t>
      </w:r>
      <w:r w:rsidRPr="001003F6">
        <w:rPr>
          <w:rFonts w:ascii="Times New Roman" w:hAnsi="Times New Roman" w:cs="Times New Roman"/>
        </w:rPr>
        <w:t xml:space="preserve">NIPSCO has 15 MWs of solar PV FIT 15 year contracts </w:t>
      </w:r>
      <w:r>
        <w:rPr>
          <w:rFonts w:ascii="Times New Roman" w:hAnsi="Times New Roman" w:cs="Times New Roman"/>
        </w:rPr>
        <w:t xml:space="preserve">with payments to customers </w:t>
      </w:r>
      <w:r w:rsidRPr="001003F6">
        <w:rPr>
          <w:rFonts w:ascii="Times New Roman" w:hAnsi="Times New Roman" w:cs="Times New Roman"/>
        </w:rPr>
        <w:t>ranging from $</w:t>
      </w:r>
      <w:r>
        <w:rPr>
          <w:rFonts w:ascii="Times New Roman" w:hAnsi="Times New Roman" w:cs="Times New Roman"/>
        </w:rPr>
        <w:t>0</w:t>
      </w:r>
      <w:r w:rsidRPr="001003F6">
        <w:rPr>
          <w:rFonts w:ascii="Times New Roman" w:hAnsi="Times New Roman" w:cs="Times New Roman"/>
        </w:rPr>
        <w:t>.26 to $</w:t>
      </w:r>
      <w:r>
        <w:rPr>
          <w:rFonts w:ascii="Times New Roman" w:hAnsi="Times New Roman" w:cs="Times New Roman"/>
        </w:rPr>
        <w:t>0</w:t>
      </w:r>
      <w:r w:rsidRPr="001003F6">
        <w:rPr>
          <w:rFonts w:ascii="Times New Roman" w:hAnsi="Times New Roman" w:cs="Times New Roman"/>
        </w:rPr>
        <w:t>.30/kWh with 2% per year price escalators</w:t>
      </w:r>
      <w:r>
        <w:rPr>
          <w:rFonts w:ascii="Times New Roman" w:hAnsi="Times New Roman" w:cs="Times New Roman"/>
        </w:rPr>
        <w:t xml:space="preserve">.  Compare </w:t>
      </w:r>
      <w:r>
        <w:rPr>
          <w:rFonts w:ascii="Times New Roman" w:hAnsi="Times New Roman" w:cs="Times New Roman"/>
        </w:rPr>
        <w:lastRenderedPageBreak/>
        <w:t xml:space="preserve">that to the mere 20 MWs of net metering distributed generation that is paid for at the retail rates, or an amount that is 2-4 times the retail rate.  See slide 17 in the attached </w:t>
      </w:r>
      <w:r>
        <w:rPr>
          <w:rFonts w:ascii="Times New Roman" w:hAnsi="Times New Roman" w:cs="Times New Roman"/>
        </w:rPr>
        <w:t>PowerPoint</w:t>
      </w:r>
      <w:r>
        <w:rPr>
          <w:rFonts w:ascii="Times New Roman" w:hAnsi="Times New Roman" w:cs="Times New Roman"/>
        </w:rPr>
        <w:t xml:space="preserve">.  It is also important to note that most of the </w:t>
      </w:r>
      <w:r w:rsidRPr="001003F6">
        <w:rPr>
          <w:rFonts w:ascii="Times New Roman" w:hAnsi="Times New Roman" w:cs="Times New Roman"/>
        </w:rPr>
        <w:t>electricity produced by solar net metering customers is consumed directly by the customer</w:t>
      </w:r>
      <w:r>
        <w:rPr>
          <w:rFonts w:ascii="Times New Roman" w:hAnsi="Times New Roman" w:cs="Times New Roman"/>
        </w:rPr>
        <w:t xml:space="preserve">, and thus, at times, NO payment to the net metering customer is necessary.  </w:t>
      </w:r>
    </w:p>
    <w:p w14:paraId="74B96523" w14:textId="77777777" w:rsidR="00B16587" w:rsidRPr="001003F6" w:rsidRDefault="00B16587" w:rsidP="00B16587">
      <w:pPr>
        <w:pStyle w:val="NoSpacing"/>
        <w:rPr>
          <w:rFonts w:ascii="Times New Roman" w:hAnsi="Times New Roman" w:cs="Times New Roman"/>
        </w:rPr>
      </w:pPr>
    </w:p>
    <w:p w14:paraId="0769F265" w14:textId="77777777" w:rsidR="00B16587" w:rsidRPr="001003F6" w:rsidRDefault="00B16587" w:rsidP="00B16587">
      <w:pPr>
        <w:pStyle w:val="NoSpacing"/>
        <w:rPr>
          <w:rFonts w:ascii="Times New Roman" w:hAnsi="Times New Roman" w:cs="Times New Roman"/>
          <w:i/>
        </w:rPr>
      </w:pPr>
      <w:r>
        <w:rPr>
          <w:rFonts w:ascii="Times New Roman" w:hAnsi="Times New Roman" w:cs="Times New Roman"/>
        </w:rPr>
        <w:t>Th</w:t>
      </w:r>
      <w:r w:rsidRPr="001003F6">
        <w:rPr>
          <w:rFonts w:ascii="Times New Roman" w:hAnsi="Times New Roman" w:cs="Times New Roman"/>
        </w:rPr>
        <w:t>e fundamental difference between these VFIT programs and net metering is the utility’s cost recovery. It appears that the real issue IS NOT a so-called subsidy but rather the utilities</w:t>
      </w:r>
      <w:r>
        <w:rPr>
          <w:rFonts w:ascii="Times New Roman" w:hAnsi="Times New Roman" w:cs="Times New Roman"/>
        </w:rPr>
        <w:t>’</w:t>
      </w:r>
      <w:r w:rsidRPr="001003F6">
        <w:rPr>
          <w:rFonts w:ascii="Times New Roman" w:hAnsi="Times New Roman" w:cs="Times New Roman"/>
        </w:rPr>
        <w:t xml:space="preserve"> ability to obtain quick cost recovery </w:t>
      </w:r>
      <w:r>
        <w:rPr>
          <w:rFonts w:ascii="Times New Roman" w:hAnsi="Times New Roman" w:cs="Times New Roman"/>
        </w:rPr>
        <w:t xml:space="preserve">with the VFIT programs </w:t>
      </w:r>
      <w:r w:rsidRPr="001003F6">
        <w:rPr>
          <w:rFonts w:ascii="Times New Roman" w:hAnsi="Times New Roman" w:cs="Times New Roman"/>
        </w:rPr>
        <w:t>via the quarterly Fuel Adjustment Clause (FAC) process</w:t>
      </w:r>
      <w:r>
        <w:rPr>
          <w:rFonts w:ascii="Times New Roman" w:hAnsi="Times New Roman" w:cs="Times New Roman"/>
        </w:rPr>
        <w:t xml:space="preserve"> filed before the Indiana Utility Regulatory Commission</w:t>
      </w:r>
      <w:r w:rsidRPr="001003F6">
        <w:rPr>
          <w:rFonts w:ascii="Times New Roman" w:hAnsi="Times New Roman" w:cs="Times New Roman"/>
        </w:rPr>
        <w:t>. S</w:t>
      </w:r>
      <w:r>
        <w:rPr>
          <w:rFonts w:ascii="Times New Roman" w:hAnsi="Times New Roman" w:cs="Times New Roman"/>
        </w:rPr>
        <w:t>B</w:t>
      </w:r>
      <w:r w:rsidRPr="001003F6">
        <w:rPr>
          <w:rFonts w:ascii="Times New Roman" w:hAnsi="Times New Roman" w:cs="Times New Roman"/>
        </w:rPr>
        <w:t xml:space="preserve"> 309 will </w:t>
      </w:r>
      <w:r>
        <w:rPr>
          <w:rFonts w:ascii="Times New Roman" w:hAnsi="Times New Roman" w:cs="Times New Roman"/>
        </w:rPr>
        <w:t xml:space="preserve">take away the kWh for kWh swap that net metering provides and instead </w:t>
      </w:r>
      <w:r w:rsidRPr="001003F6">
        <w:rPr>
          <w:rFonts w:ascii="Times New Roman" w:hAnsi="Times New Roman" w:cs="Times New Roman"/>
        </w:rPr>
        <w:t xml:space="preserve">provide this coveted cost recovery </w:t>
      </w:r>
      <w:r>
        <w:rPr>
          <w:rFonts w:ascii="Times New Roman" w:hAnsi="Times New Roman" w:cs="Times New Roman"/>
        </w:rPr>
        <w:t xml:space="preserve">FAC </w:t>
      </w:r>
      <w:r w:rsidRPr="001003F6">
        <w:rPr>
          <w:rFonts w:ascii="Times New Roman" w:hAnsi="Times New Roman" w:cs="Times New Roman"/>
        </w:rPr>
        <w:t xml:space="preserve">mechanism for net metering experienced by the utility. </w:t>
      </w:r>
      <w:r>
        <w:rPr>
          <w:rFonts w:ascii="Times New Roman" w:hAnsi="Times New Roman" w:cs="Times New Roman"/>
        </w:rPr>
        <w:t xml:space="preserve">If the utilities’ real concern is just obtaining this covered FAC cost recovery mechanism for net metering customers, why is there so much more in SB 309 that takes aim at net metering customers and an industry that is growing Indiana’s economy and job opportunities?  </w:t>
      </w:r>
      <w:r>
        <w:rPr>
          <w:rFonts w:ascii="Times New Roman" w:hAnsi="Times New Roman" w:cs="Times New Roman"/>
          <w:i/>
        </w:rPr>
        <w:t xml:space="preserve"> </w:t>
      </w:r>
    </w:p>
    <w:p w14:paraId="0684B7C7" w14:textId="77777777" w:rsidR="00B16587" w:rsidRPr="001003F6" w:rsidRDefault="00B16587" w:rsidP="00B16587">
      <w:pPr>
        <w:pStyle w:val="NoSpacing"/>
        <w:rPr>
          <w:rFonts w:ascii="Times New Roman" w:hAnsi="Times New Roman" w:cs="Times New Roman"/>
        </w:rPr>
      </w:pPr>
    </w:p>
    <w:p w14:paraId="2C8B11C7" w14:textId="6AC94A51" w:rsidR="00B16587" w:rsidRDefault="00B16587" w:rsidP="00B16587">
      <w:pPr>
        <w:pStyle w:val="NoSpacing"/>
        <w:rPr>
          <w:rFonts w:ascii="Times New Roman" w:hAnsi="Times New Roman" w:cs="Times New Roman"/>
        </w:rPr>
      </w:pPr>
      <w:r w:rsidRPr="001003F6">
        <w:rPr>
          <w:rFonts w:ascii="Times New Roman" w:hAnsi="Times New Roman" w:cs="Times New Roman"/>
        </w:rPr>
        <w:t xml:space="preserve">The real question is who will control the utilization of solar technology. Will solar energy be owned and controlled by monopoly electric utilities or individual utility customers? What will the impact of changes in net metering </w:t>
      </w:r>
      <w:r>
        <w:rPr>
          <w:rFonts w:ascii="Times New Roman" w:hAnsi="Times New Roman" w:cs="Times New Roman"/>
        </w:rPr>
        <w:t xml:space="preserve">do </w:t>
      </w:r>
      <w:r w:rsidRPr="001003F6">
        <w:rPr>
          <w:rFonts w:ascii="Times New Roman" w:hAnsi="Times New Roman" w:cs="Times New Roman"/>
        </w:rPr>
        <w:t xml:space="preserve">to the </w:t>
      </w:r>
      <w:r>
        <w:rPr>
          <w:rFonts w:ascii="Times New Roman" w:hAnsi="Times New Roman" w:cs="Times New Roman"/>
        </w:rPr>
        <w:t>distributed generation</w:t>
      </w:r>
      <w:r w:rsidRPr="001003F6">
        <w:rPr>
          <w:rFonts w:ascii="Times New Roman" w:hAnsi="Times New Roman" w:cs="Times New Roman"/>
        </w:rPr>
        <w:t xml:space="preserve"> market in Indiana?</w:t>
      </w:r>
    </w:p>
    <w:p w14:paraId="6E35D9E1"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 xml:space="preserve"> </w:t>
      </w:r>
    </w:p>
    <w:p w14:paraId="22F47DBB" w14:textId="77777777" w:rsidR="00B16587" w:rsidRPr="001003F6" w:rsidRDefault="00B16587" w:rsidP="00B16587">
      <w:pPr>
        <w:pStyle w:val="NoSpacing"/>
        <w:rPr>
          <w:rFonts w:ascii="Times New Roman" w:hAnsi="Times New Roman" w:cs="Times New Roman"/>
          <w:sz w:val="28"/>
          <w:szCs w:val="28"/>
        </w:rPr>
      </w:pPr>
      <w:r w:rsidRPr="001003F6">
        <w:rPr>
          <w:rFonts w:ascii="Times New Roman" w:hAnsi="Times New Roman" w:cs="Times New Roman"/>
          <w:b/>
          <w:sz w:val="28"/>
          <w:szCs w:val="28"/>
        </w:rPr>
        <w:t xml:space="preserve">2. </w:t>
      </w:r>
      <w:r>
        <w:rPr>
          <w:rFonts w:ascii="Times New Roman" w:hAnsi="Times New Roman" w:cs="Times New Roman"/>
          <w:b/>
          <w:sz w:val="28"/>
          <w:szCs w:val="28"/>
        </w:rPr>
        <w:t>Direct</w:t>
      </w:r>
      <w:r w:rsidRPr="001003F6">
        <w:rPr>
          <w:rFonts w:ascii="Times New Roman" w:hAnsi="Times New Roman" w:cs="Times New Roman"/>
          <w:b/>
          <w:sz w:val="28"/>
          <w:szCs w:val="28"/>
        </w:rPr>
        <w:t xml:space="preserve"> IURC to Do Cost-Benefit Study of Net Metering</w:t>
      </w:r>
    </w:p>
    <w:p w14:paraId="1888457A" w14:textId="77777777" w:rsidR="00B16587" w:rsidRPr="001003F6" w:rsidRDefault="00B16587" w:rsidP="00B16587">
      <w:pPr>
        <w:pStyle w:val="NoSpacing"/>
        <w:rPr>
          <w:rFonts w:ascii="Times New Roman" w:hAnsi="Times New Roman" w:cs="Times New Roman"/>
        </w:rPr>
      </w:pPr>
    </w:p>
    <w:p w14:paraId="3EDE2B4B" w14:textId="77777777" w:rsidR="00B16587" w:rsidRPr="001003F6" w:rsidRDefault="00B16587" w:rsidP="00B16587">
      <w:pPr>
        <w:pStyle w:val="NoSpacing"/>
        <w:rPr>
          <w:rFonts w:ascii="Times New Roman" w:hAnsi="Times New Roman" w:cs="Times New Roman"/>
        </w:rPr>
      </w:pPr>
      <w:r>
        <w:rPr>
          <w:rFonts w:ascii="Times New Roman" w:hAnsi="Times New Roman" w:cs="Times New Roman"/>
        </w:rPr>
        <w:t>T</w:t>
      </w:r>
      <w:r w:rsidRPr="001003F6">
        <w:rPr>
          <w:rFonts w:ascii="Times New Roman" w:hAnsi="Times New Roman" w:cs="Times New Roman"/>
        </w:rPr>
        <w:t xml:space="preserve">here is a desperate need for real Indiana based data and information concerning the impact of net metering. </w:t>
      </w:r>
      <w:r>
        <w:rPr>
          <w:rFonts w:ascii="Times New Roman" w:hAnsi="Times New Roman" w:cs="Times New Roman"/>
        </w:rPr>
        <w:t xml:space="preserve">As has been done in numerous other states, Indiana </w:t>
      </w:r>
      <w:r w:rsidRPr="001003F6">
        <w:rPr>
          <w:rFonts w:ascii="Times New Roman" w:hAnsi="Times New Roman" w:cs="Times New Roman"/>
        </w:rPr>
        <w:t xml:space="preserve">needs a cost-benefit study performed by the Indiana Utility Regulatory Commission (IURC). </w:t>
      </w:r>
      <w:r>
        <w:rPr>
          <w:rFonts w:ascii="Times New Roman" w:hAnsi="Times New Roman" w:cs="Times New Roman"/>
        </w:rPr>
        <w:t xml:space="preserve"> </w:t>
      </w:r>
      <w:r w:rsidRPr="001003F6">
        <w:rPr>
          <w:rFonts w:ascii="Times New Roman" w:hAnsi="Times New Roman" w:cs="Times New Roman"/>
        </w:rPr>
        <w:t xml:space="preserve">There was considerable discussion amongst state legislators about the need for such a study to provide state lawmakers </w:t>
      </w:r>
      <w:r>
        <w:rPr>
          <w:rFonts w:ascii="Times New Roman" w:hAnsi="Times New Roman" w:cs="Times New Roman"/>
        </w:rPr>
        <w:t xml:space="preserve">with </w:t>
      </w:r>
      <w:r w:rsidRPr="001003F6">
        <w:rPr>
          <w:rFonts w:ascii="Times New Roman" w:hAnsi="Times New Roman" w:cs="Times New Roman"/>
        </w:rPr>
        <w:t>real tangible data to then evaluate and make appropriate energy policy decisions.</w:t>
      </w:r>
    </w:p>
    <w:p w14:paraId="6C2FAB25" w14:textId="77777777" w:rsidR="00B16587" w:rsidRPr="001003F6" w:rsidRDefault="00B16587" w:rsidP="00B16587">
      <w:pPr>
        <w:pStyle w:val="NoSpacing"/>
        <w:rPr>
          <w:rFonts w:ascii="Times New Roman" w:hAnsi="Times New Roman" w:cs="Times New Roman"/>
        </w:rPr>
      </w:pPr>
    </w:p>
    <w:p w14:paraId="7BC58E8B"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 xml:space="preserve">Several proposed amendments were drafted yet not offered to send this issue to the IURC, however, </w:t>
      </w:r>
      <w:r>
        <w:rPr>
          <w:rFonts w:ascii="Times New Roman" w:hAnsi="Times New Roman" w:cs="Times New Roman"/>
        </w:rPr>
        <w:t xml:space="preserve">opponents </w:t>
      </w:r>
      <w:r w:rsidRPr="001003F6">
        <w:rPr>
          <w:rFonts w:ascii="Times New Roman" w:hAnsi="Times New Roman" w:cs="Times New Roman"/>
        </w:rPr>
        <w:t>advanced th</w:t>
      </w:r>
      <w:r>
        <w:rPr>
          <w:rFonts w:ascii="Times New Roman" w:hAnsi="Times New Roman" w:cs="Times New Roman"/>
        </w:rPr>
        <w:t>e</w:t>
      </w:r>
      <w:r w:rsidRPr="001003F6">
        <w:rPr>
          <w:rFonts w:ascii="Times New Roman" w:hAnsi="Times New Roman" w:cs="Times New Roman"/>
        </w:rPr>
        <w:t xml:space="preserve"> notion</w:t>
      </w:r>
      <w:r>
        <w:rPr>
          <w:rFonts w:ascii="Times New Roman" w:hAnsi="Times New Roman" w:cs="Times New Roman"/>
        </w:rPr>
        <w:t>s that (1) the IURC did not want to do such a study, and (2) the results of such an IURC study could be worse than SB 309.  In fact, d</w:t>
      </w:r>
      <w:r w:rsidRPr="001003F6">
        <w:rPr>
          <w:rFonts w:ascii="Times New Roman" w:hAnsi="Times New Roman" w:cs="Times New Roman"/>
        </w:rPr>
        <w:t>uring my recent personal discussion with IURC Chairman Jim Atterholt</w:t>
      </w:r>
      <w:r>
        <w:rPr>
          <w:rFonts w:ascii="Times New Roman" w:hAnsi="Times New Roman" w:cs="Times New Roman"/>
        </w:rPr>
        <w:t>,</w:t>
      </w:r>
      <w:r w:rsidRPr="001003F6">
        <w:rPr>
          <w:rFonts w:ascii="Times New Roman" w:hAnsi="Times New Roman" w:cs="Times New Roman"/>
        </w:rPr>
        <w:t xml:space="preserve"> I was told that the IURC did not convey to state legislators they were not interested or unwilling to do such a study. </w:t>
      </w:r>
      <w:r>
        <w:rPr>
          <w:rFonts w:ascii="Times New Roman" w:hAnsi="Times New Roman" w:cs="Times New Roman"/>
        </w:rPr>
        <w:t xml:space="preserve"> Rather, the IURC wants specific direction on what they should examine and how they </w:t>
      </w:r>
      <w:r w:rsidRPr="001003F6">
        <w:rPr>
          <w:rFonts w:ascii="Times New Roman" w:hAnsi="Times New Roman" w:cs="Times New Roman"/>
        </w:rPr>
        <w:t xml:space="preserve">should perform such a study of net metering. </w:t>
      </w:r>
    </w:p>
    <w:p w14:paraId="64FA5E1C" w14:textId="77777777" w:rsidR="00B16587" w:rsidRPr="001003F6" w:rsidRDefault="00B16587" w:rsidP="00B16587">
      <w:pPr>
        <w:pStyle w:val="NoSpacing"/>
        <w:rPr>
          <w:rFonts w:ascii="Times New Roman" w:hAnsi="Times New Roman" w:cs="Times New Roman"/>
        </w:rPr>
      </w:pPr>
    </w:p>
    <w:p w14:paraId="73F93C7F"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The notion that the IURC would make proposed changes itself via an order or administrative rulemaking without due process is not plausible</w:t>
      </w:r>
      <w:r>
        <w:rPr>
          <w:rFonts w:ascii="Times New Roman" w:hAnsi="Times New Roman" w:cs="Times New Roman"/>
        </w:rPr>
        <w:t xml:space="preserve">, yet </w:t>
      </w:r>
      <w:r w:rsidRPr="001003F6">
        <w:rPr>
          <w:rFonts w:ascii="Times New Roman" w:hAnsi="Times New Roman" w:cs="Times New Roman"/>
        </w:rPr>
        <w:t>this is what state lawmakers were told</w:t>
      </w:r>
      <w:r>
        <w:rPr>
          <w:rFonts w:ascii="Times New Roman" w:hAnsi="Times New Roman" w:cs="Times New Roman"/>
        </w:rPr>
        <w:t xml:space="preserve"> by the opposition</w:t>
      </w:r>
      <w:r w:rsidRPr="001003F6">
        <w:rPr>
          <w:rFonts w:ascii="Times New Roman" w:hAnsi="Times New Roman" w:cs="Times New Roman"/>
        </w:rPr>
        <w:t>. Specifically</w:t>
      </w:r>
      <w:r>
        <w:rPr>
          <w:rFonts w:ascii="Times New Roman" w:hAnsi="Times New Roman" w:cs="Times New Roman"/>
        </w:rPr>
        <w:t>, opponents compared the IURC to a strange, ill-fated action that occurred before the</w:t>
      </w:r>
      <w:r w:rsidRPr="001003F6">
        <w:rPr>
          <w:rFonts w:ascii="Times New Roman" w:hAnsi="Times New Roman" w:cs="Times New Roman"/>
        </w:rPr>
        <w:t xml:space="preserve"> Nevada Public Utilities Commission (NV PUC). </w:t>
      </w:r>
      <w:r>
        <w:rPr>
          <w:rFonts w:ascii="Times New Roman" w:hAnsi="Times New Roman" w:cs="Times New Roman"/>
        </w:rPr>
        <w:t>T</w:t>
      </w:r>
      <w:r w:rsidRPr="001003F6">
        <w:rPr>
          <w:rFonts w:ascii="Times New Roman" w:hAnsi="Times New Roman" w:cs="Times New Roman"/>
        </w:rPr>
        <w:t>he NV PUC took action on net metering with disastrous results to the solar industry</w:t>
      </w:r>
      <w:r>
        <w:rPr>
          <w:rFonts w:ascii="Times New Roman" w:hAnsi="Times New Roman" w:cs="Times New Roman"/>
        </w:rPr>
        <w:t xml:space="preserve">, resulting in </w:t>
      </w:r>
      <w:r w:rsidRPr="001003F6">
        <w:rPr>
          <w:rFonts w:ascii="Times New Roman" w:hAnsi="Times New Roman" w:cs="Times New Roman"/>
        </w:rPr>
        <w:t>the Governor cho</w:t>
      </w:r>
      <w:r>
        <w:rPr>
          <w:rFonts w:ascii="Times New Roman" w:hAnsi="Times New Roman" w:cs="Times New Roman"/>
        </w:rPr>
        <w:t>o</w:t>
      </w:r>
      <w:r w:rsidRPr="001003F6">
        <w:rPr>
          <w:rFonts w:ascii="Times New Roman" w:hAnsi="Times New Roman" w:cs="Times New Roman"/>
        </w:rPr>
        <w:t>s</w:t>
      </w:r>
      <w:r>
        <w:rPr>
          <w:rFonts w:ascii="Times New Roman" w:hAnsi="Times New Roman" w:cs="Times New Roman"/>
        </w:rPr>
        <w:t>ing</w:t>
      </w:r>
      <w:r w:rsidRPr="001003F6">
        <w:rPr>
          <w:rFonts w:ascii="Times New Roman" w:hAnsi="Times New Roman" w:cs="Times New Roman"/>
        </w:rPr>
        <w:t xml:space="preserve"> not to reappoint two of the PUC members who were involved in this action and </w:t>
      </w:r>
      <w:r>
        <w:rPr>
          <w:rFonts w:ascii="Times New Roman" w:hAnsi="Times New Roman" w:cs="Times New Roman"/>
        </w:rPr>
        <w:t xml:space="preserve">in the </w:t>
      </w:r>
      <w:r w:rsidRPr="001003F6">
        <w:rPr>
          <w:rFonts w:ascii="Times New Roman" w:hAnsi="Times New Roman" w:cs="Times New Roman"/>
        </w:rPr>
        <w:t xml:space="preserve">Nevada state legislature currently </w:t>
      </w:r>
      <w:r>
        <w:rPr>
          <w:rFonts w:ascii="Times New Roman" w:hAnsi="Times New Roman" w:cs="Times New Roman"/>
        </w:rPr>
        <w:t xml:space="preserve">working to reverse </w:t>
      </w:r>
      <w:r w:rsidRPr="001003F6">
        <w:rPr>
          <w:rFonts w:ascii="Times New Roman" w:hAnsi="Times New Roman" w:cs="Times New Roman"/>
        </w:rPr>
        <w:t xml:space="preserve">the </w:t>
      </w:r>
      <w:r>
        <w:rPr>
          <w:rFonts w:ascii="Times New Roman" w:hAnsi="Times New Roman" w:cs="Times New Roman"/>
        </w:rPr>
        <w:t xml:space="preserve">result of </w:t>
      </w:r>
      <w:r w:rsidRPr="001003F6">
        <w:rPr>
          <w:rFonts w:ascii="Times New Roman" w:hAnsi="Times New Roman" w:cs="Times New Roman"/>
        </w:rPr>
        <w:t>the NV PUC action.</w:t>
      </w:r>
      <w:r>
        <w:rPr>
          <w:rFonts w:ascii="Times New Roman" w:hAnsi="Times New Roman" w:cs="Times New Roman"/>
        </w:rPr>
        <w:t xml:space="preserve">  However, the NV PUC is not an appropriate comparison to the IURC.  First, the IURC has never done such a thing and is instead awaiting direction from the Governor. Second, </w:t>
      </w:r>
      <w:r w:rsidRPr="001003F6">
        <w:rPr>
          <w:rFonts w:ascii="Times New Roman" w:hAnsi="Times New Roman" w:cs="Times New Roman"/>
        </w:rPr>
        <w:t xml:space="preserve">the solar market and net metering </w:t>
      </w:r>
      <w:r>
        <w:rPr>
          <w:rFonts w:ascii="Times New Roman" w:hAnsi="Times New Roman" w:cs="Times New Roman"/>
        </w:rPr>
        <w:t xml:space="preserve">in Nevada </w:t>
      </w:r>
      <w:r w:rsidRPr="001003F6">
        <w:rPr>
          <w:rFonts w:ascii="Times New Roman" w:hAnsi="Times New Roman" w:cs="Times New Roman"/>
        </w:rPr>
        <w:t xml:space="preserve">is very different than </w:t>
      </w:r>
      <w:r>
        <w:rPr>
          <w:rFonts w:ascii="Times New Roman" w:hAnsi="Times New Roman" w:cs="Times New Roman"/>
        </w:rPr>
        <w:t xml:space="preserve">here </w:t>
      </w:r>
      <w:r w:rsidRPr="001003F6">
        <w:rPr>
          <w:rFonts w:ascii="Times New Roman" w:hAnsi="Times New Roman" w:cs="Times New Roman"/>
        </w:rPr>
        <w:t xml:space="preserve">in the State of Indiana. </w:t>
      </w:r>
    </w:p>
    <w:p w14:paraId="3B92DCA8"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noProof/>
        </w:rPr>
        <w:lastRenderedPageBreak/>
        <w:drawing>
          <wp:inline distT="0" distB="0" distL="0" distR="0" wp14:anchorId="2946E4C0" wp14:editId="1FC262CF">
            <wp:extent cx="5941047" cy="1729740"/>
            <wp:effectExtent l="0" t="0" r="3175" b="3810"/>
            <wp:docPr id="1027" name="Picture 1" descr="Bar chart showing residential solar net metering capacity per residential customer through the end of 2016. Hawaii, not pictured, has the most at 783 watts per customer, followed by California at almost 250 watts per customer. The figure illustrates that about a dozen states have a significant amount, with the rest having small or very small amounts of capacity per custo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1" descr="Bar chart showing residential solar net metering capacity per residential customer through the end of 2016. Hawaii, not pictured, has the most at 783 watts per customer, followed by California at almost 250 watts per customer. The figure illustrates that about a dozen states have a significant amount, with the rest having small or very small amounts of capacity per custom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730483"/>
                    </a:xfrm>
                    <a:prstGeom prst="rect">
                      <a:avLst/>
                    </a:prstGeom>
                    <a:noFill/>
                    <a:ln>
                      <a:noFill/>
                    </a:ln>
                    <a:extLst/>
                  </pic:spPr>
                </pic:pic>
              </a:graphicData>
            </a:graphic>
          </wp:inline>
        </w:drawing>
      </w:r>
    </w:p>
    <w:p w14:paraId="0C27F113" w14:textId="77777777" w:rsidR="00B16587" w:rsidRPr="001003F6" w:rsidRDefault="00B16587" w:rsidP="00B16587">
      <w:pPr>
        <w:pStyle w:val="NoSpacing"/>
        <w:rPr>
          <w:rFonts w:ascii="Times New Roman" w:hAnsi="Times New Roman" w:cs="Times New Roman"/>
        </w:rPr>
      </w:pPr>
    </w:p>
    <w:p w14:paraId="735829C9"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 xml:space="preserve">See </w:t>
      </w:r>
      <w:r>
        <w:rPr>
          <w:rFonts w:ascii="Times New Roman" w:hAnsi="Times New Roman" w:cs="Times New Roman"/>
        </w:rPr>
        <w:t xml:space="preserve">also </w:t>
      </w:r>
      <w:r w:rsidRPr="001003F6">
        <w:rPr>
          <w:rFonts w:ascii="Times New Roman" w:hAnsi="Times New Roman" w:cs="Times New Roman"/>
        </w:rPr>
        <w:t>Slide 18 from attached PowerPoint.</w:t>
      </w:r>
      <w:r>
        <w:rPr>
          <w:rFonts w:ascii="Times New Roman" w:hAnsi="Times New Roman" w:cs="Times New Roman"/>
        </w:rPr>
        <w:t xml:space="preserve">  This shows that Nevada is the 6</w:t>
      </w:r>
      <w:r w:rsidRPr="001003F6">
        <w:rPr>
          <w:rFonts w:ascii="Times New Roman" w:hAnsi="Times New Roman" w:cs="Times New Roman"/>
          <w:vertAlign w:val="superscript"/>
        </w:rPr>
        <w:t>th</w:t>
      </w:r>
      <w:r>
        <w:rPr>
          <w:rFonts w:ascii="Times New Roman" w:hAnsi="Times New Roman" w:cs="Times New Roman"/>
        </w:rPr>
        <w:t xml:space="preserve"> state in solar net metering capacity per residential customer, while Indiana is 39</w:t>
      </w:r>
      <w:r w:rsidRPr="001003F6">
        <w:rPr>
          <w:rFonts w:ascii="Times New Roman" w:hAnsi="Times New Roman" w:cs="Times New Roman"/>
          <w:vertAlign w:val="superscript"/>
        </w:rPr>
        <w:t>th</w:t>
      </w:r>
      <w:r>
        <w:rPr>
          <w:rFonts w:ascii="Times New Roman" w:hAnsi="Times New Roman" w:cs="Times New Roman"/>
        </w:rPr>
        <w:t xml:space="preserve">.  The fact of the matter is that Indiana is far behind in terms of net metering, and a cap is already in place in the IURC’s current net metering rule.  Once the cap in the IURC’s current net metering rule is reached, that would’ve been the more appropriate time to have a discussion.  But, if legislators would like to know more information about the impact of net metering now, an IURC conducted investigation would be the more appropriate thing to do, rather than a rush to end net metering in 2022 with state legislation in 2017 that has no IURC-backed investigation to support such a drastic action.  </w:t>
      </w:r>
    </w:p>
    <w:p w14:paraId="1847F397" w14:textId="77777777" w:rsidR="00B16587" w:rsidRPr="001003F6" w:rsidRDefault="00B16587" w:rsidP="00B16587">
      <w:pPr>
        <w:pStyle w:val="NoSpacing"/>
        <w:rPr>
          <w:rFonts w:ascii="Times New Roman" w:hAnsi="Times New Roman" w:cs="Times New Roman"/>
        </w:rPr>
      </w:pPr>
    </w:p>
    <w:p w14:paraId="1B58AD2B" w14:textId="77777777" w:rsidR="00B16587" w:rsidRPr="001003F6" w:rsidRDefault="00B16587" w:rsidP="00B16587">
      <w:pPr>
        <w:pStyle w:val="NoSpacing"/>
        <w:ind w:left="720"/>
        <w:rPr>
          <w:rFonts w:ascii="Times New Roman" w:hAnsi="Times New Roman" w:cs="Times New Roman"/>
          <w:b/>
          <w:sz w:val="28"/>
          <w:szCs w:val="28"/>
        </w:rPr>
      </w:pPr>
      <w:r w:rsidRPr="001003F6">
        <w:rPr>
          <w:rFonts w:ascii="Times New Roman" w:hAnsi="Times New Roman" w:cs="Times New Roman"/>
          <w:b/>
          <w:sz w:val="28"/>
          <w:szCs w:val="28"/>
        </w:rPr>
        <w:t xml:space="preserve">3. Create State Energy Policy Process with </w:t>
      </w:r>
      <w:r w:rsidRPr="001003F6">
        <w:rPr>
          <w:rFonts w:ascii="Times New Roman" w:hAnsi="Times New Roman" w:cs="Times New Roman"/>
          <w:b/>
          <w:sz w:val="28"/>
          <w:szCs w:val="28"/>
          <w:u w:val="single"/>
        </w:rPr>
        <w:t>ALL</w:t>
      </w:r>
      <w:r w:rsidRPr="001003F6">
        <w:rPr>
          <w:rFonts w:ascii="Times New Roman" w:hAnsi="Times New Roman" w:cs="Times New Roman"/>
          <w:b/>
          <w:sz w:val="28"/>
          <w:szCs w:val="28"/>
        </w:rPr>
        <w:t xml:space="preserve"> Stakeholders</w:t>
      </w:r>
    </w:p>
    <w:p w14:paraId="33F7FEC6" w14:textId="77777777" w:rsidR="00B16587" w:rsidRPr="001003F6" w:rsidRDefault="00B16587" w:rsidP="00B16587">
      <w:pPr>
        <w:pStyle w:val="NoSpacing"/>
        <w:rPr>
          <w:rFonts w:ascii="Times New Roman" w:hAnsi="Times New Roman" w:cs="Times New Roman"/>
        </w:rPr>
      </w:pPr>
    </w:p>
    <w:p w14:paraId="4BF5B597"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 xml:space="preserve">I implore you to take steps to create a new Indiana State Energy Policy </w:t>
      </w:r>
      <w:r>
        <w:rPr>
          <w:rFonts w:ascii="Times New Roman" w:hAnsi="Times New Roman" w:cs="Times New Roman"/>
        </w:rPr>
        <w:t xml:space="preserve">that involves </w:t>
      </w:r>
      <w:r w:rsidRPr="001003F6">
        <w:rPr>
          <w:rFonts w:ascii="Times New Roman" w:hAnsi="Times New Roman" w:cs="Times New Roman"/>
        </w:rPr>
        <w:t>ALL stakeholders</w:t>
      </w:r>
      <w:r>
        <w:rPr>
          <w:rFonts w:ascii="Times New Roman" w:hAnsi="Times New Roman" w:cs="Times New Roman"/>
        </w:rPr>
        <w:t xml:space="preserve"> and </w:t>
      </w:r>
      <w:r w:rsidRPr="001003F6">
        <w:rPr>
          <w:rFonts w:ascii="Times New Roman" w:hAnsi="Times New Roman" w:cs="Times New Roman"/>
        </w:rPr>
        <w:t xml:space="preserve">is open and transparent. Former Governor Mike Pence began such a process, however, it was shutdown barely after it was started. I </w:t>
      </w:r>
      <w:r>
        <w:rPr>
          <w:rFonts w:ascii="Times New Roman" w:hAnsi="Times New Roman" w:cs="Times New Roman"/>
        </w:rPr>
        <w:t xml:space="preserve">personally </w:t>
      </w:r>
      <w:r w:rsidRPr="001003F6">
        <w:rPr>
          <w:rFonts w:ascii="Times New Roman" w:hAnsi="Times New Roman" w:cs="Times New Roman"/>
        </w:rPr>
        <w:t xml:space="preserve">participated in </w:t>
      </w:r>
      <w:r>
        <w:rPr>
          <w:rFonts w:ascii="Times New Roman" w:hAnsi="Times New Roman" w:cs="Times New Roman"/>
        </w:rPr>
        <w:t xml:space="preserve">another such process </w:t>
      </w:r>
      <w:r w:rsidRPr="001003F6">
        <w:rPr>
          <w:rFonts w:ascii="Times New Roman" w:hAnsi="Times New Roman" w:cs="Times New Roman"/>
        </w:rPr>
        <w:t xml:space="preserve">conducted by former Lt. Governor John Mutz in the early 1980s. </w:t>
      </w:r>
    </w:p>
    <w:p w14:paraId="2C443C85" w14:textId="77777777" w:rsidR="00B16587" w:rsidRPr="001003F6" w:rsidRDefault="00B16587" w:rsidP="00B16587">
      <w:pPr>
        <w:pStyle w:val="NoSpacing"/>
        <w:rPr>
          <w:rFonts w:ascii="Times New Roman" w:hAnsi="Times New Roman" w:cs="Times New Roman"/>
        </w:rPr>
      </w:pPr>
    </w:p>
    <w:p w14:paraId="50D28BEA"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 xml:space="preserve">Net metering is not the only issue worthy of a comprehensive policy review. </w:t>
      </w:r>
      <w:r>
        <w:rPr>
          <w:rFonts w:ascii="Times New Roman" w:hAnsi="Times New Roman" w:cs="Times New Roman"/>
        </w:rPr>
        <w:t xml:space="preserve">For instance, updating avoided cost rates would be another worthy exercise that could provide great gains in customer-owned generation if conducted.  </w:t>
      </w:r>
      <w:r w:rsidRPr="001003F6">
        <w:rPr>
          <w:rFonts w:ascii="Times New Roman" w:hAnsi="Times New Roman" w:cs="Times New Roman"/>
        </w:rPr>
        <w:t>The State of Michigan has recently undergone</w:t>
      </w:r>
      <w:r>
        <w:rPr>
          <w:rFonts w:ascii="Times New Roman" w:hAnsi="Times New Roman" w:cs="Times New Roman"/>
        </w:rPr>
        <w:t xml:space="preserve"> such an exercise, </w:t>
      </w:r>
      <w:r w:rsidRPr="001003F6">
        <w:rPr>
          <w:rFonts w:ascii="Times New Roman" w:hAnsi="Times New Roman" w:cs="Times New Roman"/>
        </w:rPr>
        <w:t xml:space="preserve">reviewing rates under the Public Utility Regulatory Policy Act (PURPA). </w:t>
      </w:r>
      <w:r>
        <w:rPr>
          <w:rFonts w:ascii="Times New Roman" w:hAnsi="Times New Roman" w:cs="Times New Roman"/>
        </w:rPr>
        <w:t>See</w:t>
      </w:r>
      <w:r w:rsidRPr="001003F6">
        <w:rPr>
          <w:rFonts w:ascii="Times New Roman" w:hAnsi="Times New Roman" w:cs="Times New Roman"/>
        </w:rPr>
        <w:t xml:space="preserve"> </w:t>
      </w:r>
      <w:hyperlink r:id="rId8" w:history="1">
        <w:r w:rsidRPr="001003F6">
          <w:rPr>
            <w:rStyle w:val="Hyperlink"/>
            <w:rFonts w:ascii="Times New Roman" w:hAnsi="Times New Roman" w:cs="Times New Roman"/>
          </w:rPr>
          <w:t>http://www.michigan.gov/mpsc/0,4639,7-159-16393_74342---,00.html</w:t>
        </w:r>
      </w:hyperlink>
      <w:r>
        <w:rPr>
          <w:rFonts w:ascii="Times New Roman" w:hAnsi="Times New Roman" w:cs="Times New Roman"/>
        </w:rPr>
        <w:t xml:space="preserve">.  </w:t>
      </w:r>
      <w:r>
        <w:rPr>
          <w:rFonts w:ascii="Times New Roman" w:hAnsi="Times New Roman" w:cs="Times New Roman"/>
          <w:color w:val="333333"/>
          <w:sz w:val="21"/>
          <w:szCs w:val="21"/>
        </w:rPr>
        <w:t xml:space="preserve"> </w:t>
      </w:r>
    </w:p>
    <w:p w14:paraId="384E626E" w14:textId="77777777" w:rsidR="00B16587" w:rsidRPr="001003F6" w:rsidRDefault="00B16587" w:rsidP="00B16587">
      <w:pPr>
        <w:pStyle w:val="NoSpacing"/>
        <w:rPr>
          <w:rFonts w:ascii="Times New Roman" w:hAnsi="Times New Roman" w:cs="Times New Roman"/>
        </w:rPr>
      </w:pPr>
    </w:p>
    <w:p w14:paraId="3222E84F"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Other states including Illinois have also initiated comprehensive energy and utility policy reviews.</w:t>
      </w:r>
      <w:r>
        <w:rPr>
          <w:rFonts w:ascii="Times New Roman" w:hAnsi="Times New Roman" w:cs="Times New Roman"/>
        </w:rPr>
        <w:t xml:space="preserve">  Before we have another wave of utility-backed legislation, direction like a comprehensive energy and utility policy review from the Governor may prove useful to legislators in the future.  </w:t>
      </w:r>
    </w:p>
    <w:p w14:paraId="0036EA15" w14:textId="77777777" w:rsidR="00B16587" w:rsidRPr="001003F6" w:rsidRDefault="00B16587" w:rsidP="00B16587">
      <w:pPr>
        <w:pStyle w:val="NoSpacing"/>
        <w:rPr>
          <w:rFonts w:ascii="Times New Roman" w:hAnsi="Times New Roman" w:cs="Times New Roman"/>
        </w:rPr>
      </w:pPr>
    </w:p>
    <w:p w14:paraId="55BED0C3" w14:textId="77777777" w:rsidR="00B16587" w:rsidRPr="001003F6" w:rsidRDefault="00B16587" w:rsidP="00B16587">
      <w:pPr>
        <w:pStyle w:val="NoSpacing"/>
        <w:rPr>
          <w:rFonts w:ascii="Times New Roman" w:hAnsi="Times New Roman" w:cs="Times New Roman"/>
          <w:b/>
        </w:rPr>
      </w:pPr>
      <w:r w:rsidRPr="001003F6">
        <w:rPr>
          <w:rFonts w:ascii="Times New Roman" w:hAnsi="Times New Roman" w:cs="Times New Roman"/>
        </w:rPr>
        <w:t xml:space="preserve">Thank you for your consideration of my three requests: </w:t>
      </w:r>
      <w:r w:rsidRPr="001003F6">
        <w:rPr>
          <w:rFonts w:ascii="Times New Roman" w:hAnsi="Times New Roman" w:cs="Times New Roman"/>
          <w:b/>
        </w:rPr>
        <w:t>(1</w:t>
      </w:r>
      <w:r>
        <w:rPr>
          <w:rFonts w:ascii="Times New Roman" w:hAnsi="Times New Roman" w:cs="Times New Roman"/>
          <w:b/>
        </w:rPr>
        <w:t>)</w:t>
      </w:r>
      <w:r w:rsidRPr="001003F6">
        <w:rPr>
          <w:rFonts w:ascii="Times New Roman" w:hAnsi="Times New Roman" w:cs="Times New Roman"/>
          <w:b/>
        </w:rPr>
        <w:t xml:space="preserve"> Veto SEA 309; </w:t>
      </w:r>
      <w:r>
        <w:rPr>
          <w:rFonts w:ascii="Times New Roman" w:hAnsi="Times New Roman" w:cs="Times New Roman"/>
          <w:b/>
        </w:rPr>
        <w:t>(2)</w:t>
      </w:r>
      <w:r w:rsidRPr="001003F6">
        <w:rPr>
          <w:rFonts w:ascii="Times New Roman" w:hAnsi="Times New Roman" w:cs="Times New Roman"/>
          <w:b/>
        </w:rPr>
        <w:t xml:space="preserve"> Ask IURC to Do Cost-Benefit Study of Net Metering; and </w:t>
      </w:r>
      <w:r>
        <w:rPr>
          <w:rFonts w:ascii="Times New Roman" w:hAnsi="Times New Roman" w:cs="Times New Roman"/>
          <w:b/>
        </w:rPr>
        <w:t>(</w:t>
      </w:r>
      <w:r w:rsidRPr="001003F6">
        <w:rPr>
          <w:rFonts w:ascii="Times New Roman" w:hAnsi="Times New Roman" w:cs="Times New Roman"/>
          <w:b/>
        </w:rPr>
        <w:t>3</w:t>
      </w:r>
      <w:r>
        <w:rPr>
          <w:rFonts w:ascii="Times New Roman" w:hAnsi="Times New Roman" w:cs="Times New Roman"/>
          <w:b/>
        </w:rPr>
        <w:t>)</w:t>
      </w:r>
      <w:r w:rsidRPr="001003F6">
        <w:rPr>
          <w:rFonts w:ascii="Times New Roman" w:hAnsi="Times New Roman" w:cs="Times New Roman"/>
          <w:b/>
        </w:rPr>
        <w:t xml:space="preserve"> Create State Energy Policy Process with </w:t>
      </w:r>
      <w:r w:rsidRPr="001003F6">
        <w:rPr>
          <w:rFonts w:ascii="Times New Roman" w:hAnsi="Times New Roman" w:cs="Times New Roman"/>
          <w:b/>
          <w:u w:val="single"/>
        </w:rPr>
        <w:t>ALL</w:t>
      </w:r>
      <w:r w:rsidRPr="001003F6">
        <w:rPr>
          <w:rFonts w:ascii="Times New Roman" w:hAnsi="Times New Roman" w:cs="Times New Roman"/>
          <w:b/>
        </w:rPr>
        <w:t xml:space="preserve"> Stakeholders</w:t>
      </w:r>
      <w:r>
        <w:rPr>
          <w:rFonts w:ascii="Times New Roman" w:hAnsi="Times New Roman" w:cs="Times New Roman"/>
          <w:b/>
        </w:rPr>
        <w:t>.</w:t>
      </w:r>
    </w:p>
    <w:p w14:paraId="145BBE55" w14:textId="77777777" w:rsidR="00B16587" w:rsidRPr="001003F6" w:rsidRDefault="00B16587" w:rsidP="00B16587">
      <w:pPr>
        <w:pStyle w:val="NoSpacing"/>
        <w:rPr>
          <w:rFonts w:ascii="Times New Roman" w:hAnsi="Times New Roman" w:cs="Times New Roman"/>
        </w:rPr>
      </w:pPr>
    </w:p>
    <w:p w14:paraId="1EA17D8D" w14:textId="77777777" w:rsidR="00B16587" w:rsidRPr="001003F6" w:rsidRDefault="00B16587" w:rsidP="00B16587">
      <w:pPr>
        <w:pStyle w:val="NoSpacing"/>
        <w:rPr>
          <w:rFonts w:ascii="Times New Roman" w:hAnsi="Times New Roman" w:cs="Times New Roman"/>
        </w:rPr>
      </w:pPr>
      <w:r w:rsidRPr="001003F6">
        <w:rPr>
          <w:rFonts w:ascii="Times New Roman" w:hAnsi="Times New Roman" w:cs="Times New Roman"/>
        </w:rPr>
        <w:t>I stand willing and ready to assist you and your Administration.</w:t>
      </w:r>
    </w:p>
    <w:p w14:paraId="345A4651" w14:textId="77777777" w:rsidR="00B16587" w:rsidRPr="001003F6" w:rsidRDefault="00B16587" w:rsidP="00B16587">
      <w:pPr>
        <w:pStyle w:val="NoSpacing"/>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7F55567E" wp14:editId="07E421ED">
            <wp:simplePos x="0" y="0"/>
            <wp:positionH relativeFrom="column">
              <wp:posOffset>3147060</wp:posOffset>
            </wp:positionH>
            <wp:positionV relativeFrom="paragraph">
              <wp:posOffset>30480</wp:posOffset>
            </wp:positionV>
            <wp:extent cx="1971675" cy="352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ra Arnold e-signature.jpg"/>
                    <pic:cNvPicPr/>
                  </pic:nvPicPr>
                  <pic:blipFill>
                    <a:blip r:embed="rId9">
                      <a:extLst>
                        <a:ext uri="{28A0092B-C50C-407E-A947-70E740481C1C}">
                          <a14:useLocalDpi xmlns:a14="http://schemas.microsoft.com/office/drawing/2010/main" val="0"/>
                        </a:ext>
                      </a:extLst>
                    </a:blip>
                    <a:stretch>
                      <a:fillRect/>
                    </a:stretch>
                  </pic:blipFill>
                  <pic:spPr>
                    <a:xfrm>
                      <a:off x="0" y="0"/>
                      <a:ext cx="1971675" cy="352425"/>
                    </a:xfrm>
                    <a:prstGeom prst="rect">
                      <a:avLst/>
                    </a:prstGeom>
                  </pic:spPr>
                </pic:pic>
              </a:graphicData>
            </a:graphic>
            <wp14:sizeRelH relativeFrom="page">
              <wp14:pctWidth>0</wp14:pctWidth>
            </wp14:sizeRelH>
            <wp14:sizeRelV relativeFrom="page">
              <wp14:pctHeight>0</wp14:pctHeight>
            </wp14:sizeRelV>
          </wp:anchor>
        </w:drawing>
      </w:r>
    </w:p>
    <w:p w14:paraId="06485ED5" w14:textId="77777777" w:rsidR="00B16587" w:rsidRDefault="00B16587" w:rsidP="00B16587">
      <w:pPr>
        <w:pStyle w:val="NoSpacing"/>
        <w:ind w:left="5040"/>
        <w:rPr>
          <w:rFonts w:ascii="Times New Roman" w:hAnsi="Times New Roman" w:cs="Times New Roman"/>
        </w:rPr>
      </w:pPr>
      <w:r>
        <w:rPr>
          <w:rFonts w:ascii="Times New Roman" w:hAnsi="Times New Roman" w:cs="Times New Roman"/>
        </w:rPr>
        <w:t>______________</w:t>
      </w:r>
      <w:bookmarkStart w:id="0" w:name="_GoBack"/>
      <w:bookmarkEnd w:id="0"/>
      <w:r>
        <w:rPr>
          <w:rFonts w:ascii="Times New Roman" w:hAnsi="Times New Roman" w:cs="Times New Roman"/>
        </w:rPr>
        <w:t>_______________</w:t>
      </w:r>
    </w:p>
    <w:p w14:paraId="216AB6D8" w14:textId="77777777" w:rsidR="00B16587" w:rsidRPr="001003F6" w:rsidRDefault="00B16587" w:rsidP="00B16587">
      <w:pPr>
        <w:pStyle w:val="NoSpacing"/>
        <w:ind w:left="5040"/>
        <w:rPr>
          <w:rFonts w:ascii="Times New Roman" w:hAnsi="Times New Roman" w:cs="Times New Roman"/>
        </w:rPr>
      </w:pPr>
      <w:r w:rsidRPr="001003F6">
        <w:rPr>
          <w:rFonts w:ascii="Times New Roman" w:hAnsi="Times New Roman" w:cs="Times New Roman"/>
        </w:rPr>
        <w:t>Laura Ann Arnold</w:t>
      </w:r>
    </w:p>
    <w:p w14:paraId="15F54F6B" w14:textId="77777777" w:rsidR="00B16587" w:rsidRPr="001003F6" w:rsidRDefault="00B16587" w:rsidP="00B16587">
      <w:pPr>
        <w:pStyle w:val="NoSpacing"/>
        <w:ind w:left="5040"/>
        <w:rPr>
          <w:rFonts w:ascii="Times New Roman" w:hAnsi="Times New Roman" w:cs="Times New Roman"/>
        </w:rPr>
      </w:pPr>
      <w:r w:rsidRPr="001003F6">
        <w:rPr>
          <w:rFonts w:ascii="Times New Roman" w:hAnsi="Times New Roman" w:cs="Times New Roman"/>
        </w:rPr>
        <w:t>545 E. Eleventh Street</w:t>
      </w:r>
    </w:p>
    <w:p w14:paraId="7EF47244" w14:textId="77777777" w:rsidR="00B16587" w:rsidRPr="001003F6" w:rsidRDefault="00B16587" w:rsidP="00B16587">
      <w:pPr>
        <w:pStyle w:val="NoSpacing"/>
        <w:ind w:left="5040"/>
        <w:rPr>
          <w:rFonts w:ascii="Times New Roman" w:hAnsi="Times New Roman" w:cs="Times New Roman"/>
        </w:rPr>
      </w:pPr>
      <w:r w:rsidRPr="001003F6">
        <w:rPr>
          <w:rFonts w:ascii="Times New Roman" w:hAnsi="Times New Roman" w:cs="Times New Roman"/>
        </w:rPr>
        <w:t>Indianapolis, IN 46202-2627</w:t>
      </w:r>
    </w:p>
    <w:p w14:paraId="02D095F7" w14:textId="77777777" w:rsidR="00B16587" w:rsidRPr="001003F6" w:rsidRDefault="00B16587" w:rsidP="00B16587">
      <w:pPr>
        <w:pStyle w:val="NoSpacing"/>
        <w:ind w:left="5040"/>
        <w:rPr>
          <w:rFonts w:ascii="Times New Roman" w:hAnsi="Times New Roman" w:cs="Times New Roman"/>
        </w:rPr>
      </w:pPr>
      <w:r w:rsidRPr="001003F6">
        <w:rPr>
          <w:rFonts w:ascii="Times New Roman" w:hAnsi="Times New Roman" w:cs="Times New Roman"/>
        </w:rPr>
        <w:t>(317) 635-1701</w:t>
      </w:r>
    </w:p>
    <w:p w14:paraId="1715D091" w14:textId="77777777" w:rsidR="00B16587" w:rsidRPr="001003F6" w:rsidRDefault="00B16587" w:rsidP="00B16587">
      <w:pPr>
        <w:pStyle w:val="NoSpacing"/>
        <w:ind w:left="5040"/>
        <w:rPr>
          <w:rFonts w:ascii="Times New Roman" w:hAnsi="Times New Roman" w:cs="Times New Roman"/>
        </w:rPr>
      </w:pPr>
      <w:r w:rsidRPr="001003F6">
        <w:rPr>
          <w:rFonts w:ascii="Times New Roman" w:hAnsi="Times New Roman" w:cs="Times New Roman"/>
        </w:rPr>
        <w:t>(317) 503-5123 cell</w:t>
      </w:r>
    </w:p>
    <w:p w14:paraId="3AEF081F" w14:textId="77777777" w:rsidR="00B16587" w:rsidRPr="001003F6" w:rsidRDefault="00B16587" w:rsidP="00B16587">
      <w:pPr>
        <w:pStyle w:val="NoSpacing"/>
        <w:ind w:left="5040"/>
        <w:rPr>
          <w:rFonts w:ascii="Times New Roman" w:hAnsi="Times New Roman" w:cs="Times New Roman"/>
        </w:rPr>
      </w:pPr>
      <w:hyperlink r:id="rId10" w:history="1">
        <w:r w:rsidRPr="001003F6">
          <w:rPr>
            <w:rStyle w:val="Hyperlink"/>
            <w:rFonts w:ascii="Times New Roman" w:hAnsi="Times New Roman" w:cs="Times New Roman"/>
          </w:rPr>
          <w:t>Laura.Arnold@IndianaDG.net</w:t>
        </w:r>
      </w:hyperlink>
      <w:r w:rsidRPr="001003F6">
        <w:rPr>
          <w:rFonts w:ascii="Times New Roman" w:hAnsi="Times New Roman" w:cs="Times New Roman"/>
        </w:rPr>
        <w:t xml:space="preserve"> </w:t>
      </w:r>
    </w:p>
    <w:p w14:paraId="7F1755A4" w14:textId="77777777" w:rsidR="00B16587" w:rsidRPr="00B80271" w:rsidRDefault="00B16587" w:rsidP="00B16587">
      <w:pPr>
        <w:pStyle w:val="NoSpacing"/>
        <w:ind w:left="5040"/>
        <w:rPr>
          <w:rFonts w:ascii="Times New Roman" w:hAnsi="Times New Roman" w:cs="Times New Roman"/>
        </w:rPr>
      </w:pPr>
      <w:hyperlink r:id="rId11" w:history="1">
        <w:r w:rsidRPr="001003F6">
          <w:rPr>
            <w:rStyle w:val="Hyperlink"/>
            <w:rFonts w:ascii="Times New Roman" w:hAnsi="Times New Roman" w:cs="Times New Roman"/>
          </w:rPr>
          <w:t>Laura.Arnold@thearnoldgroup.biz</w:t>
        </w:r>
      </w:hyperlink>
    </w:p>
    <w:p w14:paraId="3D3D6040" w14:textId="77777777" w:rsidR="00684CE6" w:rsidRDefault="00684CE6"/>
    <w:sectPr w:rsidR="00684CE6">
      <w:footerReference w:type="default" r:id="rI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594019361"/>
      <w:docPartObj>
        <w:docPartGallery w:val="Page Numbers (Bottom of Page)"/>
        <w:docPartUnique/>
      </w:docPartObj>
    </w:sdtPr>
    <w:sdtEndPr>
      <w:rPr>
        <w:noProof/>
      </w:rPr>
    </w:sdtEndPr>
    <w:sdtContent>
      <w:p w14:paraId="76522F98" w14:textId="77777777" w:rsidR="00B80271" w:rsidRPr="00B80271" w:rsidRDefault="000D4921">
        <w:pPr>
          <w:pStyle w:val="Footer"/>
          <w:jc w:val="right"/>
          <w:rPr>
            <w:rFonts w:ascii="Times New Roman" w:hAnsi="Times New Roman" w:cs="Times New Roman"/>
          </w:rPr>
        </w:pPr>
        <w:r w:rsidRPr="00B80271">
          <w:rPr>
            <w:rFonts w:ascii="Times New Roman" w:hAnsi="Times New Roman" w:cs="Times New Roman"/>
          </w:rPr>
          <w:fldChar w:fldCharType="begin"/>
        </w:r>
        <w:r w:rsidRPr="00B80271">
          <w:rPr>
            <w:rFonts w:ascii="Times New Roman" w:hAnsi="Times New Roman" w:cs="Times New Roman"/>
          </w:rPr>
          <w:instrText xml:space="preserve"> PAGE   \* MERGEFORMAT </w:instrText>
        </w:r>
        <w:r w:rsidRPr="00B80271">
          <w:rPr>
            <w:rFonts w:ascii="Times New Roman" w:hAnsi="Times New Roman" w:cs="Times New Roman"/>
          </w:rPr>
          <w:fldChar w:fldCharType="separate"/>
        </w:r>
        <w:r>
          <w:rPr>
            <w:rFonts w:ascii="Times New Roman" w:hAnsi="Times New Roman" w:cs="Times New Roman"/>
            <w:noProof/>
          </w:rPr>
          <w:t>4</w:t>
        </w:r>
        <w:r w:rsidRPr="00B80271">
          <w:rPr>
            <w:rFonts w:ascii="Times New Roman" w:hAnsi="Times New Roman" w:cs="Times New Roman"/>
            <w:noProof/>
          </w:rPr>
          <w:fldChar w:fldCharType="end"/>
        </w:r>
      </w:p>
    </w:sdtContent>
  </w:sdt>
  <w:p w14:paraId="49F8CA63" w14:textId="77777777" w:rsidR="003042FC" w:rsidRPr="00B80271" w:rsidRDefault="000D4921">
    <w:pPr>
      <w:pStyle w:val="Footer"/>
      <w:rPr>
        <w:rFonts w:ascii="Times New Roman" w:hAnsi="Times New Roman" w:cs="Times New Roman"/>
        <w:color w:val="7030A0"/>
        <w:sz w:val="44"/>
        <w:szCs w:val="4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E25220"/>
    <w:multiLevelType w:val="hybridMultilevel"/>
    <w:tmpl w:val="78F4CC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87"/>
    <w:rsid w:val="000D4921"/>
    <w:rsid w:val="00684CE6"/>
    <w:rsid w:val="00B16587"/>
    <w:rsid w:val="00BC50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72CE"/>
  <w15:chartTrackingRefBased/>
  <w15:docId w15:val="{8D699B40-389E-49FA-A372-21467D44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6587"/>
    <w:pPr>
      <w:spacing w:after="0" w:line="240" w:lineRule="auto"/>
    </w:pPr>
  </w:style>
  <w:style w:type="paragraph" w:styleId="Footer">
    <w:name w:val="footer"/>
    <w:basedOn w:val="Normal"/>
    <w:link w:val="FooterChar"/>
    <w:uiPriority w:val="99"/>
    <w:unhideWhenUsed/>
    <w:rsid w:val="00B165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587"/>
  </w:style>
  <w:style w:type="character" w:styleId="Hyperlink">
    <w:name w:val="Hyperlink"/>
    <w:basedOn w:val="DefaultParagraphFont"/>
    <w:uiPriority w:val="99"/>
    <w:unhideWhenUsed/>
    <w:rsid w:val="00B16587"/>
    <w:rPr>
      <w:color w:val="0563C1" w:themeColor="hyperlink"/>
      <w:u w:val="single"/>
    </w:rPr>
  </w:style>
  <w:style w:type="character" w:styleId="CommentReference">
    <w:name w:val="annotation reference"/>
    <w:basedOn w:val="DefaultParagraphFont"/>
    <w:uiPriority w:val="99"/>
    <w:semiHidden/>
    <w:unhideWhenUsed/>
    <w:rsid w:val="00B16587"/>
    <w:rPr>
      <w:sz w:val="16"/>
      <w:szCs w:val="16"/>
    </w:rPr>
  </w:style>
  <w:style w:type="paragraph" w:styleId="CommentText">
    <w:name w:val="annotation text"/>
    <w:basedOn w:val="Normal"/>
    <w:link w:val="CommentTextChar"/>
    <w:uiPriority w:val="99"/>
    <w:semiHidden/>
    <w:unhideWhenUsed/>
    <w:rsid w:val="00B16587"/>
    <w:pPr>
      <w:spacing w:line="240" w:lineRule="auto"/>
    </w:pPr>
    <w:rPr>
      <w:sz w:val="20"/>
      <w:szCs w:val="20"/>
    </w:rPr>
  </w:style>
  <w:style w:type="character" w:customStyle="1" w:styleId="CommentTextChar">
    <w:name w:val="Comment Text Char"/>
    <w:basedOn w:val="DefaultParagraphFont"/>
    <w:link w:val="CommentText"/>
    <w:uiPriority w:val="99"/>
    <w:semiHidden/>
    <w:rsid w:val="00B16587"/>
    <w:rPr>
      <w:sz w:val="20"/>
      <w:szCs w:val="20"/>
    </w:rPr>
  </w:style>
  <w:style w:type="paragraph" w:styleId="BalloonText">
    <w:name w:val="Balloon Text"/>
    <w:basedOn w:val="Normal"/>
    <w:link w:val="BalloonTextChar"/>
    <w:uiPriority w:val="99"/>
    <w:semiHidden/>
    <w:unhideWhenUsed/>
    <w:rsid w:val="00B165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5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chigan.gov/mpsc/0,4639,7-159-16393_74342---,0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ura.Arnold@thearnoldgroup.biz" TargetMode="External"/><Relationship Id="rId11" Type="http://schemas.openxmlformats.org/officeDocument/2006/relationships/hyperlink" Target="mailto:Laura.Arnold@thearnoldgroup.biz" TargetMode="External"/><Relationship Id="rId5" Type="http://schemas.openxmlformats.org/officeDocument/2006/relationships/hyperlink" Target="mailto:Laura.Arnold@IndianaDG.net" TargetMode="External"/><Relationship Id="rId10" Type="http://schemas.openxmlformats.org/officeDocument/2006/relationships/hyperlink" Target="mailto:Laura.Arnold@IndianaDG.net"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1374</Words>
  <Characters>7833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2017-05-01T10:46:00Z</dcterms:created>
  <dcterms:modified xsi:type="dcterms:W3CDTF">2017-05-01T11:30:00Z</dcterms:modified>
</cp:coreProperties>
</file>