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91BA9" w14:textId="0CCC7D63" w:rsidR="00A635FD" w:rsidRDefault="00A635FD">
      <w:bookmarkStart w:id="0" w:name="_GoBack"/>
      <w:bookmarkEnd w:id="0"/>
      <w:r>
        <w:t>April 24, 2020</w:t>
      </w:r>
    </w:p>
    <w:p w14:paraId="6511B196" w14:textId="77777777" w:rsidR="007D3FB8" w:rsidRDefault="007D3FB8" w:rsidP="00A635FD">
      <w:pPr>
        <w:spacing w:after="0"/>
      </w:pPr>
    </w:p>
    <w:p w14:paraId="00314D77" w14:textId="77777777" w:rsidR="007D3FB8" w:rsidRDefault="00F50F1A" w:rsidP="00A635FD">
      <w:pPr>
        <w:spacing w:after="0"/>
      </w:pPr>
      <w:r>
        <w:t xml:space="preserve">Mary </w:t>
      </w:r>
      <w:r w:rsidR="007D3FB8">
        <w:t>M. Becerra</w:t>
      </w:r>
      <w:r>
        <w:t xml:space="preserve"> </w:t>
      </w:r>
    </w:p>
    <w:p w14:paraId="50232F34" w14:textId="7EBB5A61" w:rsidR="00A635FD" w:rsidRDefault="00F50F1A" w:rsidP="00A635FD">
      <w:pPr>
        <w:spacing w:after="0"/>
      </w:pPr>
      <w:r>
        <w:t>Secretary</w:t>
      </w:r>
      <w:r w:rsidR="007D3FB8">
        <w:t xml:space="preserve"> to the Commission</w:t>
      </w:r>
      <w:r w:rsidR="00794C02">
        <w:tab/>
      </w:r>
      <w:r w:rsidR="00794C02">
        <w:tab/>
      </w:r>
      <w:r w:rsidR="00794C02">
        <w:tab/>
      </w:r>
      <w:r w:rsidR="00794C02">
        <w:tab/>
      </w:r>
    </w:p>
    <w:p w14:paraId="4B9FBC22" w14:textId="7AE82452" w:rsidR="00A635FD" w:rsidRDefault="00A635FD" w:rsidP="00A635FD">
      <w:pPr>
        <w:spacing w:after="0"/>
      </w:pPr>
      <w:r>
        <w:t>Indiana Utility Regulatory Commission</w:t>
      </w:r>
    </w:p>
    <w:p w14:paraId="74873080" w14:textId="550E2181" w:rsidR="007D3FB8" w:rsidRDefault="007D3FB8" w:rsidP="00A635FD">
      <w:pPr>
        <w:spacing w:after="0"/>
      </w:pPr>
      <w:r>
        <w:t>PNC Center</w:t>
      </w:r>
    </w:p>
    <w:p w14:paraId="015C82AF" w14:textId="141E3EA4" w:rsidR="007D3FB8" w:rsidRDefault="007D3FB8" w:rsidP="00A635FD">
      <w:pPr>
        <w:spacing w:after="0"/>
      </w:pPr>
      <w:r>
        <w:t>101 W. Washington Street, Suite 1500 East</w:t>
      </w:r>
    </w:p>
    <w:p w14:paraId="1A2838F8" w14:textId="6755C40F" w:rsidR="007D3FB8" w:rsidRDefault="007D3FB8" w:rsidP="00A635FD">
      <w:pPr>
        <w:spacing w:after="0"/>
      </w:pPr>
      <w:r>
        <w:t>Indianapolis, IN 46204</w:t>
      </w:r>
    </w:p>
    <w:p w14:paraId="36C663B0" w14:textId="73EB2130" w:rsidR="00A635FD" w:rsidRDefault="00A635FD" w:rsidP="00A635FD">
      <w:pPr>
        <w:spacing w:after="0"/>
      </w:pPr>
    </w:p>
    <w:p w14:paraId="1E652EDE" w14:textId="701A137B" w:rsidR="00A635FD" w:rsidRPr="00D336B6" w:rsidRDefault="00A635FD" w:rsidP="00A635FD">
      <w:pPr>
        <w:spacing w:after="0"/>
      </w:pPr>
      <w:r>
        <w:rPr>
          <w:i/>
          <w:iCs/>
        </w:rPr>
        <w:t>Via Electronic Ma</w:t>
      </w:r>
      <w:r w:rsidR="009B17DD">
        <w:rPr>
          <w:i/>
          <w:iCs/>
        </w:rPr>
        <w:t xml:space="preserve">il </w:t>
      </w:r>
      <w:r w:rsidR="009B17DD">
        <w:t>(</w:t>
      </w:r>
      <w:hyperlink r:id="rId8" w:history="1">
        <w:r w:rsidR="007D755E" w:rsidRPr="00B51187">
          <w:rPr>
            <w:rStyle w:val="Hyperlink"/>
          </w:rPr>
          <w:t>mbecerra@urc.IN.gov</w:t>
        </w:r>
      </w:hyperlink>
      <w:r w:rsidR="007D755E">
        <w:t>)</w:t>
      </w:r>
    </w:p>
    <w:p w14:paraId="6298AD1D" w14:textId="163618DD" w:rsidR="00A635FD" w:rsidRDefault="00A635FD" w:rsidP="00A635FD">
      <w:pPr>
        <w:spacing w:after="0"/>
        <w:rPr>
          <w:i/>
          <w:iCs/>
        </w:rPr>
      </w:pPr>
    </w:p>
    <w:p w14:paraId="604F7346" w14:textId="680C1788" w:rsidR="007D3FB8" w:rsidRDefault="007D3FB8" w:rsidP="00A635FD">
      <w:pPr>
        <w:spacing w:after="0"/>
      </w:pPr>
      <w:r>
        <w:tab/>
        <w:t xml:space="preserve">Re:  Objections of Solarize Indiana to </w:t>
      </w:r>
      <w:proofErr w:type="spellStart"/>
      <w:r>
        <w:t>Vectren’s</w:t>
      </w:r>
      <w:proofErr w:type="spellEnd"/>
      <w:r>
        <w:t xml:space="preserve"> Pending 30-Day Filing</w:t>
      </w:r>
      <w:r w:rsidR="003E66E5">
        <w:t>s</w:t>
      </w:r>
      <w:r>
        <w:t xml:space="preserve"> Nos. 50331 and 50332</w:t>
      </w:r>
    </w:p>
    <w:p w14:paraId="63063FFC" w14:textId="77777777" w:rsidR="007D3FB8" w:rsidRDefault="007D3FB8" w:rsidP="00A635FD">
      <w:pPr>
        <w:spacing w:after="0"/>
      </w:pPr>
    </w:p>
    <w:p w14:paraId="34649C45" w14:textId="63959D55" w:rsidR="00A635FD" w:rsidRDefault="00A635FD" w:rsidP="00A635FD">
      <w:pPr>
        <w:spacing w:after="0"/>
      </w:pPr>
      <w:r>
        <w:t xml:space="preserve">Dear Ms. </w:t>
      </w:r>
      <w:r w:rsidR="002D7336">
        <w:t>Becerra</w:t>
      </w:r>
      <w:r>
        <w:t>,</w:t>
      </w:r>
    </w:p>
    <w:p w14:paraId="68A4067E" w14:textId="779A0F13" w:rsidR="00A635FD" w:rsidRDefault="00A635FD" w:rsidP="00A635FD">
      <w:pPr>
        <w:spacing w:after="0"/>
      </w:pPr>
    </w:p>
    <w:p w14:paraId="6C413D0B" w14:textId="47E7A951" w:rsidR="00A635FD" w:rsidRDefault="00A635FD" w:rsidP="007D3FB8">
      <w:pPr>
        <w:spacing w:after="0"/>
        <w:ind w:firstLine="720"/>
      </w:pPr>
      <w:r>
        <w:t xml:space="preserve">To follow up on </w:t>
      </w:r>
      <w:r w:rsidR="00794C02">
        <w:t>communications</w:t>
      </w:r>
      <w:r>
        <w:t xml:space="preserve"> </w:t>
      </w:r>
      <w:r w:rsidR="002D7336">
        <w:t xml:space="preserve">with Commission staff </w:t>
      </w:r>
      <w:r w:rsidR="00B36234">
        <w:t>last week</w:t>
      </w:r>
      <w:r w:rsidR="00E77437">
        <w:t xml:space="preserve"> </w:t>
      </w:r>
      <w:r w:rsidR="00C3640C">
        <w:t xml:space="preserve">by </w:t>
      </w:r>
      <w:r>
        <w:t xml:space="preserve">Michael A. Mullett, </w:t>
      </w:r>
      <w:r w:rsidR="0034120B">
        <w:t xml:space="preserve">a </w:t>
      </w:r>
      <w:r w:rsidR="00387F29">
        <w:t xml:space="preserve">Member </w:t>
      </w:r>
      <w:r w:rsidR="00E77437">
        <w:t>of its</w:t>
      </w:r>
      <w:r w:rsidR="00387F29">
        <w:t xml:space="preserve"> Board of Directors</w:t>
      </w:r>
      <w:r w:rsidR="00E77437">
        <w:t xml:space="preserve">, </w:t>
      </w:r>
      <w:r>
        <w:t>Solarize Indiana, Inc. (“SI”)</w:t>
      </w:r>
      <w:r w:rsidR="000D2201">
        <w:t xml:space="preserve"> hereby</w:t>
      </w:r>
      <w:r>
        <w:t xml:space="preserve"> </w:t>
      </w:r>
      <w:r w:rsidR="000D2201">
        <w:t>submits</w:t>
      </w:r>
      <w:r>
        <w:t xml:space="preserve"> </w:t>
      </w:r>
      <w:r w:rsidR="009904C3">
        <w:t>its</w:t>
      </w:r>
      <w:r>
        <w:t xml:space="preserve"> </w:t>
      </w:r>
      <w:r w:rsidR="009713A7">
        <w:t>Objections and explanatory Co</w:t>
      </w:r>
      <w:r>
        <w:t xml:space="preserve">mments with respect to Vectren’s </w:t>
      </w:r>
      <w:r w:rsidR="00564D86">
        <w:t xml:space="preserve">pending </w:t>
      </w:r>
      <w:r>
        <w:t>30-Day Filings Nos. 50331 and 50332</w:t>
      </w:r>
      <w:r w:rsidR="009713A7">
        <w:t xml:space="preserve">.  In addition, this is to provide </w:t>
      </w:r>
      <w:r w:rsidR="000D2201">
        <w:t>limited</w:t>
      </w:r>
      <w:r w:rsidR="009713A7">
        <w:t xml:space="preserve"> additional comments</w:t>
      </w:r>
      <w:r w:rsidR="000D2201">
        <w:t xml:space="preserve"> by SI</w:t>
      </w:r>
      <w:r w:rsidR="009713A7">
        <w:t xml:space="preserve"> regarding </w:t>
      </w:r>
      <w:r>
        <w:t>the Objection</w:t>
      </w:r>
      <w:r w:rsidR="009713A7">
        <w:t>s</w:t>
      </w:r>
      <w:r w:rsidR="0099784A">
        <w:t>, Amended Objection</w:t>
      </w:r>
      <w:r w:rsidR="009713A7">
        <w:t>s</w:t>
      </w:r>
      <w:r w:rsidR="0099784A">
        <w:t>,</w:t>
      </w:r>
      <w:r>
        <w:t xml:space="preserve"> and </w:t>
      </w:r>
      <w:r w:rsidR="00564D86">
        <w:t xml:space="preserve">further Comments in response to Commission inquiry regarding Filing No. 50331 (as well as certain other filings by other utilities) </w:t>
      </w:r>
      <w:r w:rsidR="00447240">
        <w:t>by</w:t>
      </w:r>
      <w:r w:rsidR="00564D86">
        <w:t xml:space="preserve"> the Office of Utility Consumer Counselor</w:t>
      </w:r>
      <w:r w:rsidR="003E77C8">
        <w:t xml:space="preserve"> (“OUCC”)</w:t>
      </w:r>
      <w:r w:rsidR="00564D86">
        <w:t>.</w:t>
      </w:r>
    </w:p>
    <w:p w14:paraId="19FDBCE8" w14:textId="3644D178" w:rsidR="00564D86" w:rsidRDefault="00564D86" w:rsidP="00A635FD">
      <w:pPr>
        <w:spacing w:after="0"/>
      </w:pPr>
    </w:p>
    <w:p w14:paraId="2D806F2A" w14:textId="5780B5A4" w:rsidR="0034120B" w:rsidRDefault="00564D86" w:rsidP="0034120B">
      <w:pPr>
        <w:pStyle w:val="ListParagraph"/>
        <w:numPr>
          <w:ilvl w:val="0"/>
          <w:numId w:val="1"/>
        </w:numPr>
        <w:spacing w:after="0"/>
        <w:ind w:left="0" w:firstLine="360"/>
      </w:pPr>
      <w:r>
        <w:t xml:space="preserve"> </w:t>
      </w:r>
      <w:r w:rsidR="003E77C8">
        <w:t xml:space="preserve">SI is an Indiana not-for-profit corporation </w:t>
      </w:r>
      <w:r w:rsidR="00EF56C0">
        <w:t xml:space="preserve">recently incorporated </w:t>
      </w:r>
      <w:r w:rsidR="00114A2F">
        <w:t>“</w:t>
      </w:r>
      <w:r w:rsidR="00114A2F" w:rsidRPr="00114A2F">
        <w:t>exclusively for charitable and educational purposes under section 501(c)(3) of the Internal Revenue Code, or corresponding section of any future federal tax code.</w:t>
      </w:r>
      <w:r w:rsidR="00114A2F">
        <w:t>”  In particular,</w:t>
      </w:r>
      <w:r w:rsidR="00114A2F" w:rsidRPr="00114A2F">
        <w:t xml:space="preserve"> </w:t>
      </w:r>
      <w:r w:rsidR="00114A2F">
        <w:t>SI</w:t>
      </w:r>
      <w:r w:rsidR="00114A2F" w:rsidRPr="00114A2F">
        <w:t xml:space="preserve"> </w:t>
      </w:r>
      <w:r w:rsidR="00114A2F">
        <w:t>“</w:t>
      </w:r>
      <w:r w:rsidR="00114A2F" w:rsidRPr="00114A2F">
        <w:t>seeks to protect the environment and the public welfare by accelerating the adoption of clean, renewable energy through well-informed public and private energy choices</w:t>
      </w:r>
      <w:r w:rsidR="00114A2F">
        <w:t>.”  See Articles of Incorporation, file</w:t>
      </w:r>
      <w:r w:rsidR="00B36234">
        <w:t>d</w:t>
      </w:r>
      <w:r w:rsidR="00114A2F">
        <w:t xml:space="preserve"> August 29, 2019</w:t>
      </w:r>
      <w:r w:rsidR="00B36234">
        <w:t>, esp. Article II.</w:t>
      </w:r>
      <w:r w:rsidR="00810A34">
        <w:t xml:space="preserve">  Prior to its </w:t>
      </w:r>
      <w:r w:rsidR="00BE3866">
        <w:t xml:space="preserve">Summer 2019 </w:t>
      </w:r>
      <w:r w:rsidR="00810A34">
        <w:t>incorporation, SI functioned with the same purpose</w:t>
      </w:r>
      <w:r w:rsidR="009A32F4">
        <w:t>s</w:t>
      </w:r>
      <w:r w:rsidR="00810A34">
        <w:t xml:space="preserve"> as an unincorporated association beginning in Spring 2017.</w:t>
      </w:r>
      <w:r w:rsidR="009D767E">
        <w:t xml:space="preserve">  SI</w:t>
      </w:r>
      <w:r w:rsidR="00466900">
        <w:t xml:space="preserve"> achieves its purposes principally</w:t>
      </w:r>
      <w:r w:rsidR="009D767E">
        <w:t xml:space="preserve"> through local volunteer teams </w:t>
      </w:r>
      <w:r w:rsidR="00991C2F">
        <w:t xml:space="preserve">who </w:t>
      </w:r>
      <w:r w:rsidR="009D767E">
        <w:t>inform residential a</w:t>
      </w:r>
      <w:r w:rsidR="00E26EB9">
        <w:t>s well as</w:t>
      </w:r>
      <w:r w:rsidR="009D767E">
        <w:t xml:space="preserve"> small commercial, non-profit and governmental customers </w:t>
      </w:r>
      <w:r w:rsidR="0009694E">
        <w:t>regarding the distributed energy resources (DER) now available to them</w:t>
      </w:r>
      <w:r w:rsidR="00466900">
        <w:t xml:space="preserve"> </w:t>
      </w:r>
      <w:r w:rsidR="00E26EB9">
        <w:t xml:space="preserve">in the competitive energy marketplace </w:t>
      </w:r>
      <w:r w:rsidR="00466900">
        <w:t xml:space="preserve">and </w:t>
      </w:r>
      <w:r w:rsidR="00991C2F">
        <w:t>then</w:t>
      </w:r>
      <w:r w:rsidR="00466900">
        <w:t xml:space="preserve"> </w:t>
      </w:r>
      <w:r w:rsidR="003734D6">
        <w:t>assist t</w:t>
      </w:r>
      <w:r w:rsidR="009C0BD9">
        <w:t>hose customers</w:t>
      </w:r>
      <w:r w:rsidR="003734D6">
        <w:t xml:space="preserve"> in a carefully structured, time-tested manner commonly known as the “Solarize Model”</w:t>
      </w:r>
      <w:r w:rsidR="00EB278E">
        <w:t xml:space="preserve"> </w:t>
      </w:r>
      <w:r w:rsidR="009C0BD9">
        <w:t xml:space="preserve">to match their needs as they define them with the offerings of independent vendors </w:t>
      </w:r>
      <w:r w:rsidR="007D1AD5">
        <w:t xml:space="preserve">of solar PV installations and related equipment and services </w:t>
      </w:r>
      <w:r w:rsidR="00225FCB">
        <w:t>which have been methodically screened for the quality of their products and services</w:t>
      </w:r>
      <w:r w:rsidR="003734D6">
        <w:t xml:space="preserve"> </w:t>
      </w:r>
      <w:r w:rsidR="00225FCB">
        <w:t>and the competitiveness of their prices through detailed Requests for Proposal</w:t>
      </w:r>
      <w:r w:rsidR="00DE4C32">
        <w:t>s</w:t>
      </w:r>
      <w:r w:rsidR="00225FCB">
        <w:t xml:space="preserve"> (RFPs)</w:t>
      </w:r>
      <w:r w:rsidR="00DE4C32">
        <w:t xml:space="preserve">.   Solarize Indiana has had </w:t>
      </w:r>
      <w:r w:rsidR="00C94181">
        <w:t xml:space="preserve">such </w:t>
      </w:r>
      <w:r w:rsidR="00DE4C32">
        <w:t xml:space="preserve">a local volunteer team </w:t>
      </w:r>
      <w:r w:rsidR="00C94181">
        <w:t>operating in the</w:t>
      </w:r>
      <w:r w:rsidR="00DE4C32">
        <w:t xml:space="preserve"> </w:t>
      </w:r>
      <w:r w:rsidR="00C94181">
        <w:t xml:space="preserve">Vectren service territory </w:t>
      </w:r>
      <w:r w:rsidR="00AD069B">
        <w:t>since Spring 2017 until the present.</w:t>
      </w:r>
      <w:r w:rsidR="00C738C8">
        <w:t xml:space="preserve">  During 2019 and 2020 year-to-date, SI’s Evansville </w:t>
      </w:r>
      <w:r w:rsidR="00D65D38">
        <w:t xml:space="preserve">Area </w:t>
      </w:r>
      <w:r w:rsidR="00C738C8">
        <w:t xml:space="preserve">Team has facilitated the completion of </w:t>
      </w:r>
      <w:r w:rsidR="0024678E">
        <w:t xml:space="preserve">26 </w:t>
      </w:r>
      <w:r w:rsidR="009713A7">
        <w:t xml:space="preserve">distributed </w:t>
      </w:r>
      <w:r w:rsidR="0024678E">
        <w:t>solar projects within the Vectren service territory.</w:t>
      </w:r>
    </w:p>
    <w:p w14:paraId="2275E97A" w14:textId="77777777" w:rsidR="0034120B" w:rsidRDefault="0034120B" w:rsidP="0034120B">
      <w:pPr>
        <w:pStyle w:val="ListParagraph"/>
        <w:spacing w:after="0"/>
        <w:ind w:left="360"/>
      </w:pPr>
    </w:p>
    <w:p w14:paraId="0924C37C" w14:textId="12BAA468" w:rsidR="00564D86" w:rsidRDefault="005C7C7E" w:rsidP="0034120B">
      <w:pPr>
        <w:pStyle w:val="ListParagraph"/>
        <w:numPr>
          <w:ilvl w:val="0"/>
          <w:numId w:val="1"/>
        </w:numPr>
        <w:spacing w:after="0"/>
        <w:ind w:left="0" w:firstLine="360"/>
      </w:pPr>
      <w:r>
        <w:t xml:space="preserve">To frame its own Objections, </w:t>
      </w:r>
      <w:r w:rsidR="003E77C8">
        <w:t xml:space="preserve">SI </w:t>
      </w:r>
      <w:r>
        <w:t>notes and highlights th</w:t>
      </w:r>
      <w:r w:rsidR="006919C1">
        <w:t>is</w:t>
      </w:r>
      <w:r w:rsidR="003E77C8">
        <w:t xml:space="preserve"> following prefatory statement </w:t>
      </w:r>
      <w:r>
        <w:t>by</w:t>
      </w:r>
      <w:r w:rsidR="003E77C8">
        <w:t xml:space="preserve"> the OUCC</w:t>
      </w:r>
      <w:r w:rsidR="00B36234">
        <w:t xml:space="preserve"> in </w:t>
      </w:r>
      <w:r>
        <w:t xml:space="preserve">in </w:t>
      </w:r>
      <w:r w:rsidR="00B36234">
        <w:t>its response to the Commission</w:t>
      </w:r>
      <w:r w:rsidR="0034120B">
        <w:t xml:space="preserve"> inquiry regarding the nature of and basis for </w:t>
      </w:r>
      <w:r>
        <w:t>the Office’s</w:t>
      </w:r>
      <w:r w:rsidR="0034120B">
        <w:t xml:space="preserve"> Objections</w:t>
      </w:r>
      <w:r w:rsidR="003E77C8">
        <w:t>:</w:t>
      </w:r>
    </w:p>
    <w:p w14:paraId="3BC7229D" w14:textId="4F396586" w:rsidR="00EF56C0" w:rsidRDefault="00EF56C0" w:rsidP="00EF56C0">
      <w:pPr>
        <w:spacing w:after="0"/>
      </w:pPr>
    </w:p>
    <w:p w14:paraId="64CD3D84" w14:textId="0D688D3D" w:rsidR="00810A34" w:rsidRDefault="00EF56C0" w:rsidP="00925F31">
      <w:pPr>
        <w:spacing w:after="0"/>
        <w:ind w:left="720" w:right="720"/>
      </w:pPr>
      <w:r>
        <w:lastRenderedPageBreak/>
        <w:t>The filings in question are made pursuant to the requirements of the Public Utilities</w:t>
      </w:r>
      <w:r w:rsidR="00925F31">
        <w:t xml:space="preserve"> </w:t>
      </w:r>
      <w:r>
        <w:t>Regulatory Policies Act (“PURPA”). Congress passed PURPA to encourage fuel diversity</w:t>
      </w:r>
      <w:r w:rsidR="00925F31">
        <w:t xml:space="preserve"> </w:t>
      </w:r>
      <w:r>
        <w:t>via alternative energy sources and to introduce competition into the electric sector. PURPA</w:t>
      </w:r>
      <w:r w:rsidR="00925F31">
        <w:t xml:space="preserve"> </w:t>
      </w:r>
      <w:r>
        <w:t>requires electric utilities to purchase electric energy from cogeneration facilities and small</w:t>
      </w:r>
      <w:r w:rsidR="00925F31">
        <w:t xml:space="preserve"> </w:t>
      </w:r>
      <w:r>
        <w:t>power production facilities at a rate that does not exceed the incremental cost to the electric</w:t>
      </w:r>
      <w:r w:rsidR="00925F31">
        <w:t xml:space="preserve"> </w:t>
      </w:r>
      <w:r>
        <w:t>utility of alternative electric energy (referred to as “avoided cost”). This requirement is to</w:t>
      </w:r>
      <w:r w:rsidR="00925F31">
        <w:t xml:space="preserve"> </w:t>
      </w:r>
      <w:r>
        <w:t>ensure the rates of purchase “be just and reasonable to the electric consumers of the electric</w:t>
      </w:r>
      <w:r w:rsidR="00925F31">
        <w:t xml:space="preserve"> </w:t>
      </w:r>
      <w:r>
        <w:t>utility and in the public interest.” 16 U.S.C.A. § 824a-3(b)(1). 170 Ind. Admin. Code 4-4.1, et seq. comprise Indiana’s rules for application of this act.</w:t>
      </w:r>
    </w:p>
    <w:p w14:paraId="7EFF0312" w14:textId="77777777" w:rsidR="00925F31" w:rsidRDefault="00925F31" w:rsidP="0034360F">
      <w:pPr>
        <w:spacing w:after="0"/>
        <w:ind w:right="360"/>
      </w:pPr>
    </w:p>
    <w:p w14:paraId="0CB76A55" w14:textId="27076BBE" w:rsidR="00D96EE0" w:rsidRDefault="00D96EE0" w:rsidP="0034360F">
      <w:pPr>
        <w:spacing w:after="0"/>
        <w:ind w:right="360"/>
      </w:pPr>
      <w:r>
        <w:t>Generally speaking, it is SI’s position that Vectren’s filings are insufficient and incomplete with respect to PURPA compliance</w:t>
      </w:r>
      <w:r w:rsidR="00AA11E0">
        <w:t xml:space="preserve"> in multiple respects</w:t>
      </w:r>
      <w:r>
        <w:t xml:space="preserve">. </w:t>
      </w:r>
    </w:p>
    <w:p w14:paraId="0E28E813" w14:textId="77777777" w:rsidR="00D96EE0" w:rsidRDefault="00D96EE0" w:rsidP="0034360F">
      <w:pPr>
        <w:spacing w:after="0"/>
        <w:ind w:right="360"/>
      </w:pPr>
    </w:p>
    <w:p w14:paraId="7FA3CB22" w14:textId="4B155E44" w:rsidR="00EE497A" w:rsidRDefault="00FA285A" w:rsidP="00EE497A">
      <w:pPr>
        <w:spacing w:after="0"/>
        <w:ind w:firstLine="360"/>
      </w:pPr>
      <w:r>
        <w:t xml:space="preserve">3.  </w:t>
      </w:r>
      <w:r w:rsidR="00EE497A">
        <w:t xml:space="preserve"> </w:t>
      </w:r>
      <w:r w:rsidR="00D96EE0">
        <w:t>More s</w:t>
      </w:r>
      <w:r w:rsidR="00EE497A">
        <w:t xml:space="preserve">pecifically, Vectren’s Filings Nos. 50331 and 50332 </w:t>
      </w:r>
      <w:r w:rsidR="005C7C7E">
        <w:t xml:space="preserve">both </w:t>
      </w:r>
      <w:r w:rsidR="00EE497A">
        <w:t>relate to the rates, forms of standard contract, and other terms and conditions of the published tariff for Vectren Rate CSP</w:t>
      </w:r>
      <w:r w:rsidR="004718C5">
        <w:t xml:space="preserve">, </w:t>
      </w:r>
      <w:r w:rsidR="00FB562F">
        <w:t>the only</w:t>
      </w:r>
      <w:r w:rsidR="004718C5">
        <w:t xml:space="preserve"> tariff offering by Vectren to certain Qualifying Facilities under PURPA</w:t>
      </w:r>
      <w:r w:rsidR="00D96EE0">
        <w:t>, namely those above one megawatt in capacity</w:t>
      </w:r>
      <w:r w:rsidR="00EE497A">
        <w:t>.</w:t>
      </w:r>
      <w:r w:rsidR="00796B03">
        <w:t xml:space="preserve">  </w:t>
      </w:r>
    </w:p>
    <w:p w14:paraId="39201B5F" w14:textId="77777777" w:rsidR="00EE497A" w:rsidRDefault="00EE497A" w:rsidP="00EE497A">
      <w:pPr>
        <w:spacing w:after="0"/>
        <w:ind w:firstLine="360"/>
      </w:pPr>
    </w:p>
    <w:p w14:paraId="36FE3B6D" w14:textId="27E47487" w:rsidR="000C4EB5" w:rsidRDefault="00EE497A" w:rsidP="00795735">
      <w:pPr>
        <w:spacing w:after="0"/>
        <w:ind w:firstLine="360"/>
      </w:pPr>
      <w:r>
        <w:t xml:space="preserve">4.   </w:t>
      </w:r>
      <w:r w:rsidR="00FA285A">
        <w:t xml:space="preserve">SI </w:t>
      </w:r>
      <w:r w:rsidR="003A5979">
        <w:t>has particular concerns regarding</w:t>
      </w:r>
      <w:r w:rsidR="00FA285A">
        <w:t xml:space="preserve"> Vectren Filing Nos. 50331 and 50332 because of their</w:t>
      </w:r>
      <w:r w:rsidR="008B2937">
        <w:t xml:space="preserve"> significant</w:t>
      </w:r>
      <w:r w:rsidR="00FA285A">
        <w:t xml:space="preserve"> </w:t>
      </w:r>
      <w:r w:rsidR="003A5979">
        <w:t>inter-</w:t>
      </w:r>
      <w:r w:rsidR="00FA285A">
        <w:t xml:space="preserve">relationship to Vectren’s imminent filing </w:t>
      </w:r>
      <w:r w:rsidR="00F87F7E">
        <w:t>in a</w:t>
      </w:r>
      <w:r>
        <w:t xml:space="preserve"> separate</w:t>
      </w:r>
      <w:r w:rsidR="00F87F7E">
        <w:t xml:space="preserve"> docketed proceeding</w:t>
      </w:r>
      <w:r w:rsidR="00900197">
        <w:t xml:space="preserve"> relating to the rates, forms of standard contract, and other terms and conditions of what would, if and when approved by the Commission, become the published tariff for Vectren Rate EDG</w:t>
      </w:r>
      <w:r w:rsidR="003A5979">
        <w:t>, another tariff offering by Vectren to certain Qualifying Facilities under PURPA, namely those of one megawatt or less in capacity</w:t>
      </w:r>
      <w:r w:rsidR="00900197">
        <w:t>.</w:t>
      </w:r>
      <w:r w:rsidR="00795735">
        <w:t xml:space="preserve">  </w:t>
      </w:r>
      <w:r w:rsidR="000C4EB5">
        <w:t xml:space="preserve"> </w:t>
      </w:r>
    </w:p>
    <w:p w14:paraId="6C4A1603" w14:textId="77777777" w:rsidR="00E66633" w:rsidRDefault="00E66633" w:rsidP="00EE497A">
      <w:pPr>
        <w:spacing w:after="0"/>
        <w:ind w:firstLine="360"/>
      </w:pPr>
    </w:p>
    <w:p w14:paraId="71C39D72" w14:textId="498F09AF" w:rsidR="00E66633" w:rsidRDefault="00E66633" w:rsidP="00EE497A">
      <w:pPr>
        <w:spacing w:after="0"/>
        <w:ind w:firstLine="360"/>
      </w:pPr>
      <w:r>
        <w:t xml:space="preserve">5.   While acknowledging that </w:t>
      </w:r>
      <w:r w:rsidR="008E10DB">
        <w:t xml:space="preserve">the specific rates, forms of standard contract, and other terms of conditions of </w:t>
      </w:r>
      <w:r w:rsidR="0059792D">
        <w:t xml:space="preserve">the </w:t>
      </w:r>
      <w:r w:rsidR="008E10DB">
        <w:t xml:space="preserve">prospective tariff </w:t>
      </w:r>
      <w:r w:rsidR="00BA70CE">
        <w:t xml:space="preserve">to be filed imminently by </w:t>
      </w:r>
      <w:r w:rsidR="008E10DB">
        <w:t xml:space="preserve">Vectren </w:t>
      </w:r>
      <w:r w:rsidR="00BA70CE">
        <w:t xml:space="preserve">for </w:t>
      </w:r>
      <w:r w:rsidR="008E10DB">
        <w:t>Rate EDG may differ</w:t>
      </w:r>
      <w:r w:rsidR="0069161F">
        <w:t xml:space="preserve"> in particular respects, SI would represent to the Commission, based on information and belief, that it expects</w:t>
      </w:r>
      <w:r w:rsidR="00977607">
        <w:t xml:space="preserve"> Vectren’s impending filing seeking Commission approval for the Rate EDG Tariff to be substantively similar </w:t>
      </w:r>
      <w:r w:rsidR="00FC08E8">
        <w:t xml:space="preserve">to the draft Rate EDG Tariff presented by Vectren to the Commission on </w:t>
      </w:r>
      <w:r w:rsidR="00F72EEF">
        <w:t>December 19, 201</w:t>
      </w:r>
      <w:r w:rsidR="0059075A">
        <w:t xml:space="preserve">9. </w:t>
      </w:r>
      <w:r w:rsidR="00F72EEF">
        <w:t xml:space="preserve"> </w:t>
      </w:r>
      <w:r w:rsidR="0059075A">
        <w:t>A</w:t>
      </w:r>
      <w:r w:rsidR="00F72EEF">
        <w:t xml:space="preserve"> public copy of </w:t>
      </w:r>
      <w:r w:rsidR="0059075A">
        <w:t xml:space="preserve">this draft Rate EDG Tariff and related </w:t>
      </w:r>
      <w:r w:rsidR="007E59E3">
        <w:t>PowerPoint</w:t>
      </w:r>
      <w:r w:rsidR="0059075A">
        <w:t xml:space="preserve"> presentation</w:t>
      </w:r>
      <w:r w:rsidR="00F72EEF">
        <w:t xml:space="preserve"> </w:t>
      </w:r>
      <w:r w:rsidR="0059075A">
        <w:t>are</w:t>
      </w:r>
      <w:r w:rsidR="00F72EEF">
        <w:t xml:space="preserve"> attached </w:t>
      </w:r>
      <w:r w:rsidR="0078189D">
        <w:t xml:space="preserve">for reference </w:t>
      </w:r>
      <w:r w:rsidR="00F72EEF">
        <w:t>to this electronic mail communication.</w:t>
      </w:r>
    </w:p>
    <w:p w14:paraId="0A8FEE9B" w14:textId="4EC175FE" w:rsidR="009A7527" w:rsidRDefault="009A7527" w:rsidP="00EE497A">
      <w:pPr>
        <w:spacing w:after="0"/>
        <w:ind w:firstLine="360"/>
      </w:pPr>
    </w:p>
    <w:p w14:paraId="6ED86843" w14:textId="7CF3D205" w:rsidR="009A7527" w:rsidRDefault="009A7527" w:rsidP="00EE497A">
      <w:pPr>
        <w:spacing w:after="0"/>
        <w:ind w:firstLine="360"/>
      </w:pPr>
      <w:r>
        <w:t xml:space="preserve">6.  </w:t>
      </w:r>
      <w:r w:rsidR="0059792D">
        <w:t xml:space="preserve">  </w:t>
      </w:r>
      <w:r w:rsidR="001D446A">
        <w:t xml:space="preserve">From SI’s perspective, after consultation with multiple other interests, the </w:t>
      </w:r>
      <w:r w:rsidR="00172288">
        <w:t xml:space="preserve">procedural </w:t>
      </w:r>
      <w:r w:rsidR="001D446A">
        <w:t>approach which would most</w:t>
      </w:r>
      <w:r w:rsidR="00DC7049">
        <w:t xml:space="preserve"> likely be</w:t>
      </w:r>
      <w:r w:rsidR="001D446A">
        <w:t xml:space="preserve"> conducive to productive discussions among the parties, conservation of the parties’ respective resources, and administrative and, potentially, judicial economy </w:t>
      </w:r>
      <w:r w:rsidR="00A82F93">
        <w:t xml:space="preserve">in avoiding the proliferation of litigation </w:t>
      </w:r>
      <w:r w:rsidR="001D446A">
        <w:t xml:space="preserve">would be </w:t>
      </w:r>
      <w:r w:rsidR="00172288">
        <w:t xml:space="preserve">for the Commission </w:t>
      </w:r>
      <w:r w:rsidR="001D446A">
        <w:t>to consolidate Vectren’s pending Rate CSP filings Nos. 50331 and 50332 with Vectren’s impending Rate EDG filing in the same docketed proceeding</w:t>
      </w:r>
      <w:r w:rsidR="00172288">
        <w:t xml:space="preserve"> relating to their collective PURPA compliance</w:t>
      </w:r>
      <w:r w:rsidR="001D446A">
        <w:t>.</w:t>
      </w:r>
    </w:p>
    <w:p w14:paraId="5964DFFA" w14:textId="0DF14EB8" w:rsidR="00425D12" w:rsidRDefault="00425D12" w:rsidP="00EE497A">
      <w:pPr>
        <w:spacing w:after="0"/>
        <w:ind w:firstLine="360"/>
      </w:pPr>
    </w:p>
    <w:p w14:paraId="7D659499" w14:textId="5E62B2FB" w:rsidR="00425D12" w:rsidRDefault="00425D12" w:rsidP="00EE497A">
      <w:pPr>
        <w:spacing w:after="0"/>
        <w:ind w:firstLine="360"/>
      </w:pPr>
      <w:r>
        <w:t xml:space="preserve">7.  In support of its perspective on this matter, SI would </w:t>
      </w:r>
      <w:r w:rsidR="00E650BA">
        <w:t>state</w:t>
      </w:r>
      <w:r>
        <w:t>:</w:t>
      </w:r>
    </w:p>
    <w:p w14:paraId="3B4CE3BD" w14:textId="0FC98A8D" w:rsidR="00EF0901" w:rsidRDefault="00EF0901" w:rsidP="00EE497A">
      <w:pPr>
        <w:spacing w:after="0"/>
        <w:ind w:firstLine="360"/>
      </w:pPr>
    </w:p>
    <w:p w14:paraId="41D5023D" w14:textId="07558BCF" w:rsidR="00EF0901" w:rsidRDefault="00EF0901" w:rsidP="00D67F63">
      <w:pPr>
        <w:pStyle w:val="ListParagraph"/>
        <w:numPr>
          <w:ilvl w:val="0"/>
          <w:numId w:val="2"/>
        </w:numPr>
        <w:spacing w:after="0"/>
        <w:ind w:left="0" w:firstLine="360"/>
      </w:pPr>
      <w:r>
        <w:lastRenderedPageBreak/>
        <w:t>Rates CSP and EDG both involve sales for resale</w:t>
      </w:r>
      <w:r w:rsidR="00312ED9">
        <w:t xml:space="preserve"> subject to the principles and </w:t>
      </w:r>
      <w:r w:rsidR="00172288">
        <w:t>standards</w:t>
      </w:r>
      <w:r w:rsidR="00312ED9">
        <w:t xml:space="preserve"> of PURPA and its implementing federal regulations and </w:t>
      </w:r>
      <w:r w:rsidR="002407D9">
        <w:t xml:space="preserve">prior </w:t>
      </w:r>
      <w:r w:rsidR="00312ED9">
        <w:t>adjudications</w:t>
      </w:r>
      <w:r w:rsidR="00033D92">
        <w:t>;</w:t>
      </w:r>
    </w:p>
    <w:p w14:paraId="2F533022" w14:textId="77777777" w:rsidR="0039692B" w:rsidRDefault="0039692B" w:rsidP="0039692B">
      <w:pPr>
        <w:pStyle w:val="ListParagraph"/>
        <w:spacing w:after="0"/>
        <w:ind w:left="360"/>
      </w:pPr>
    </w:p>
    <w:p w14:paraId="2D9594AD" w14:textId="0ED19BDB" w:rsidR="0039692B" w:rsidRDefault="00C23988" w:rsidP="0039692B">
      <w:pPr>
        <w:pStyle w:val="ListParagraph"/>
        <w:numPr>
          <w:ilvl w:val="0"/>
          <w:numId w:val="2"/>
        </w:numPr>
        <w:spacing w:after="0"/>
        <w:ind w:left="0" w:firstLine="360"/>
      </w:pPr>
      <w:r>
        <w:t xml:space="preserve">The market for cogeneration and alternate </w:t>
      </w:r>
      <w:r w:rsidR="00D14A25">
        <w:t>energy</w:t>
      </w:r>
      <w:r w:rsidR="00505C52">
        <w:t xml:space="preserve"> subject to PURPA’s </w:t>
      </w:r>
      <w:r w:rsidR="00565018">
        <w:t xml:space="preserve">framework of </w:t>
      </w:r>
      <w:r w:rsidR="00505C52">
        <w:t>regulatory oversight</w:t>
      </w:r>
      <w:r>
        <w:t xml:space="preserve"> is rapidly evolving due to technological advances not only in generation technology but also energy management information technology and energy storage technology, the convergence of which is fundamentally changing both what is technologically possible and</w:t>
      </w:r>
      <w:r w:rsidR="00505C52">
        <w:t xml:space="preserve"> what is</w:t>
      </w:r>
      <w:r>
        <w:t xml:space="preserve"> economically and environmentally preferable in the production, transmission, distribution and consumption of electricity</w:t>
      </w:r>
      <w:r w:rsidR="00BB7E01">
        <w:t xml:space="preserve"> throughout the world and the nation, including the State of Indiana</w:t>
      </w:r>
      <w:r w:rsidR="00F4358B">
        <w:t>.</w:t>
      </w:r>
    </w:p>
    <w:p w14:paraId="7D3D23DB" w14:textId="77777777" w:rsidR="0039692B" w:rsidRDefault="0039692B" w:rsidP="0039692B">
      <w:pPr>
        <w:pStyle w:val="ListParagraph"/>
        <w:spacing w:after="0"/>
        <w:ind w:left="360"/>
      </w:pPr>
    </w:p>
    <w:p w14:paraId="33306105" w14:textId="21A09762" w:rsidR="0039692B" w:rsidRDefault="00BB7E01" w:rsidP="00172288">
      <w:pPr>
        <w:pStyle w:val="ListParagraph"/>
        <w:numPr>
          <w:ilvl w:val="0"/>
          <w:numId w:val="2"/>
        </w:numPr>
        <w:spacing w:after="0"/>
        <w:ind w:left="0" w:firstLine="360"/>
      </w:pPr>
      <w:r>
        <w:t>“One size fits all” has never</w:t>
      </w:r>
      <w:r w:rsidR="00565018">
        <w:t xml:space="preserve"> been a formula that</w:t>
      </w:r>
      <w:r>
        <w:t xml:space="preserve"> </w:t>
      </w:r>
      <w:r w:rsidR="0029096D">
        <w:t xml:space="preserve">has </w:t>
      </w:r>
      <w:r>
        <w:t>worked</w:t>
      </w:r>
      <w:r w:rsidR="0039692B">
        <w:t xml:space="preserve"> well</w:t>
      </w:r>
      <w:r>
        <w:t xml:space="preserve"> in the PURPA context</w:t>
      </w:r>
      <w:r w:rsidR="00EE2201">
        <w:t>.</w:t>
      </w:r>
      <w:r w:rsidR="00565018">
        <w:t xml:space="preserve"> </w:t>
      </w:r>
      <w:r w:rsidR="00EE2201">
        <w:t>But,</w:t>
      </w:r>
      <w:r w:rsidR="00565018">
        <w:t xml:space="preserve"> the recent and rapid evolution of the market for cogeneration and alternate generation now underway </w:t>
      </w:r>
      <w:r w:rsidR="00451AFC">
        <w:t>requires a much more variegated and sophisticated approach to matching the needs of electricity generators, customers</w:t>
      </w:r>
      <w:r w:rsidR="00EE2201">
        <w:t>,</w:t>
      </w:r>
      <w:r w:rsidR="00451AFC">
        <w:t xml:space="preserve"> and customer-generators </w:t>
      </w:r>
      <w:r w:rsidR="00C643DA">
        <w:t>in a manner compatible with</w:t>
      </w:r>
      <w:r w:rsidR="00EE2201">
        <w:t xml:space="preserve"> PURPA’s statutory </w:t>
      </w:r>
      <w:r w:rsidR="004B113B">
        <w:t>framework</w:t>
      </w:r>
      <w:r w:rsidR="00EE2201">
        <w:t xml:space="preserve"> and</w:t>
      </w:r>
      <w:r w:rsidR="00C643DA">
        <w:t xml:space="preserve"> the </w:t>
      </w:r>
      <w:r w:rsidR="00EE2201">
        <w:t xml:space="preserve">broader </w:t>
      </w:r>
      <w:r w:rsidR="00C643DA">
        <w:t xml:space="preserve">public interest </w:t>
      </w:r>
      <w:r w:rsidR="00451AFC">
        <w:t>than ever before</w:t>
      </w:r>
      <w:r w:rsidR="00A32290">
        <w:t>.</w:t>
      </w:r>
      <w:r w:rsidR="002F6441">
        <w:t xml:space="preserve">   </w:t>
      </w:r>
    </w:p>
    <w:p w14:paraId="3FC2E74E" w14:textId="77777777" w:rsidR="0039692B" w:rsidRDefault="0039692B" w:rsidP="0039692B">
      <w:pPr>
        <w:pStyle w:val="ListParagraph"/>
        <w:spacing w:after="0"/>
        <w:ind w:left="360"/>
      </w:pPr>
    </w:p>
    <w:p w14:paraId="15161392" w14:textId="3DC99BD5" w:rsidR="00BB7E01" w:rsidRDefault="002F6441" w:rsidP="00D67F63">
      <w:pPr>
        <w:pStyle w:val="ListParagraph"/>
        <w:numPr>
          <w:ilvl w:val="0"/>
          <w:numId w:val="2"/>
        </w:numPr>
        <w:spacing w:after="0"/>
        <w:ind w:left="0" w:firstLine="360"/>
      </w:pPr>
      <w:r>
        <w:t xml:space="preserve">There is nothing in </w:t>
      </w:r>
      <w:r w:rsidR="009F43F6">
        <w:t xml:space="preserve">PURPA’s framework of regulatory oversight which precludes franchised electric utilities such as Vectren </w:t>
      </w:r>
      <w:r w:rsidR="0016089B">
        <w:t xml:space="preserve">from </w:t>
      </w:r>
      <w:r w:rsidR="00D15265">
        <w:t>making multiple</w:t>
      </w:r>
      <w:r w:rsidR="00EE2201">
        <w:t>, variegated</w:t>
      </w:r>
      <w:r w:rsidR="00D15265">
        <w:t xml:space="preserve"> </w:t>
      </w:r>
      <w:r w:rsidR="006D6684">
        <w:t>tariffed offerings to customer generators</w:t>
      </w:r>
      <w:r w:rsidR="00352655">
        <w:t xml:space="preserve"> seeking to install facilities qualifying </w:t>
      </w:r>
      <w:r w:rsidR="00EB0C6C">
        <w:t xml:space="preserve">under that framework.  Indeed, to meet the underlying purposes </w:t>
      </w:r>
      <w:r w:rsidR="00693415">
        <w:t xml:space="preserve">and standards </w:t>
      </w:r>
      <w:r w:rsidR="00EB0C6C">
        <w:t>of PURPA, such multiple</w:t>
      </w:r>
      <w:r w:rsidR="00EE2201">
        <w:t>, variegated</w:t>
      </w:r>
      <w:r w:rsidR="00EB0C6C">
        <w:t xml:space="preserve"> tariffed offerings have become essential</w:t>
      </w:r>
      <w:r w:rsidR="00317533">
        <w:t xml:space="preserve"> in</w:t>
      </w:r>
      <w:r w:rsidR="00132972">
        <w:t xml:space="preserve"> the current, rapidly evolving market for cogeneration and alternate generation</w:t>
      </w:r>
      <w:r w:rsidR="00317533">
        <w:t>.</w:t>
      </w:r>
    </w:p>
    <w:p w14:paraId="7A6C1C88" w14:textId="77777777" w:rsidR="00693415" w:rsidRDefault="00693415" w:rsidP="00693415">
      <w:pPr>
        <w:pStyle w:val="ListParagraph"/>
        <w:spacing w:after="0"/>
        <w:ind w:left="360"/>
      </w:pPr>
    </w:p>
    <w:p w14:paraId="103E722F" w14:textId="7C188B76" w:rsidR="00B452DE" w:rsidRDefault="00317533" w:rsidP="0016089B">
      <w:pPr>
        <w:pStyle w:val="ListParagraph"/>
        <w:numPr>
          <w:ilvl w:val="0"/>
          <w:numId w:val="2"/>
        </w:numPr>
        <w:spacing w:after="0"/>
        <w:ind w:left="0" w:firstLine="360"/>
      </w:pPr>
      <w:r>
        <w:t>In particular</w:t>
      </w:r>
      <w:r w:rsidR="00132972">
        <w:t xml:space="preserve">,  SI would submit that </w:t>
      </w:r>
      <w:r w:rsidR="008124FE">
        <w:t xml:space="preserve">there are </w:t>
      </w:r>
      <w:r w:rsidR="00C0408B">
        <w:t>differences in circumstances among prospective customer-generators which are at least as critica</w:t>
      </w:r>
      <w:r w:rsidR="0042611B">
        <w:t xml:space="preserve">l to </w:t>
      </w:r>
      <w:r w:rsidR="003C3395">
        <w:t xml:space="preserve">achieving </w:t>
      </w:r>
      <w:r w:rsidR="0042611B">
        <w:t xml:space="preserve">PURPA’s goals and </w:t>
      </w:r>
      <w:r w:rsidR="003C3395">
        <w:t xml:space="preserve">serving </w:t>
      </w:r>
      <w:r w:rsidR="0042611B">
        <w:t>the broader public interest</w:t>
      </w:r>
      <w:r w:rsidR="00C0408B">
        <w:t xml:space="preserve"> as whether their proposed facilities are larger or smaller than one megawatt, the primary distinction between current Vectren Rate CSP and prospective Rate EDG.</w:t>
      </w:r>
    </w:p>
    <w:p w14:paraId="54AB388F" w14:textId="77777777" w:rsidR="00EB2D81" w:rsidRDefault="00EB2D81" w:rsidP="00EB2D81">
      <w:pPr>
        <w:pStyle w:val="ListParagraph"/>
        <w:spacing w:after="0"/>
        <w:ind w:left="360"/>
      </w:pPr>
    </w:p>
    <w:p w14:paraId="5AF927E5" w14:textId="5BBB086C" w:rsidR="0042611B" w:rsidRDefault="00D026EA" w:rsidP="00EB2D81">
      <w:pPr>
        <w:pStyle w:val="ListParagraph"/>
        <w:numPr>
          <w:ilvl w:val="0"/>
          <w:numId w:val="4"/>
        </w:numPr>
        <w:spacing w:after="0"/>
      </w:pPr>
      <w:r>
        <w:t>Most importantly</w:t>
      </w:r>
      <w:r w:rsidR="00C0408B">
        <w:t xml:space="preserve">, there is the matter of whether the proposed facilities are </w:t>
      </w:r>
      <w:r w:rsidR="006D2384">
        <w:t>planned</w:t>
      </w:r>
      <w:r w:rsidR="00C0408B">
        <w:t xml:space="preserve"> for interconnection </w:t>
      </w:r>
      <w:r>
        <w:t>at</w:t>
      </w:r>
      <w:r w:rsidR="00C0408B">
        <w:t xml:space="preserve"> the transmission or distribution levels of the grid</w:t>
      </w:r>
      <w:r w:rsidR="00684860">
        <w:t xml:space="preserve">.  </w:t>
      </w:r>
      <w:r w:rsidR="00653692">
        <w:t xml:space="preserve">In this regard, </w:t>
      </w:r>
      <w:r w:rsidR="00DA7C4F">
        <w:t xml:space="preserve">SI </w:t>
      </w:r>
      <w:r w:rsidR="00653692">
        <w:t xml:space="preserve">would </w:t>
      </w:r>
      <w:r w:rsidR="00EB2D81">
        <w:t>direct the Commission</w:t>
      </w:r>
      <w:r w:rsidR="00DA7C4F">
        <w:t xml:space="preserve"> </w:t>
      </w:r>
      <w:r w:rsidR="00FF4C2F">
        <w:t xml:space="preserve">especially </w:t>
      </w:r>
      <w:r w:rsidR="00EB2D81">
        <w:t>to the prospectus prepared by its consultant</w:t>
      </w:r>
      <w:r w:rsidR="00F579DC">
        <w:t xml:space="preserve">, Lawrence-Berkeley National Laboratory, </w:t>
      </w:r>
      <w:r w:rsidR="00E31E85">
        <w:t>for its section of the Commission’s</w:t>
      </w:r>
      <w:r w:rsidR="00653692">
        <w:t xml:space="preserve"> planned report to the 21</w:t>
      </w:r>
      <w:r w:rsidR="00653692" w:rsidRPr="003C3395">
        <w:rPr>
          <w:vertAlign w:val="superscript"/>
        </w:rPr>
        <w:t>st</w:t>
      </w:r>
      <w:r w:rsidR="00653692">
        <w:t xml:space="preserve"> Century Energy Policy Task Force</w:t>
      </w:r>
      <w:r w:rsidR="00FF4C2F">
        <w:t xml:space="preserve"> </w:t>
      </w:r>
      <w:r w:rsidR="002B3259">
        <w:t xml:space="preserve">which </w:t>
      </w:r>
      <w:r w:rsidR="00FF4C2F" w:rsidRPr="00FF4C2F">
        <w:t>outlin</w:t>
      </w:r>
      <w:r w:rsidR="002B3259">
        <w:t>es in some detail</w:t>
      </w:r>
      <w:r w:rsidR="00FF4C2F" w:rsidRPr="00FF4C2F">
        <w:t xml:space="preserve"> the explosive market potential of distributed energy resources (DER)</w:t>
      </w:r>
      <w:r w:rsidR="00653692">
        <w:t>.</w:t>
      </w:r>
      <w:r w:rsidR="00FF4C2F">
        <w:t xml:space="preserve">  </w:t>
      </w:r>
      <w:r w:rsidR="00653692">
        <w:t xml:space="preserve">  See </w:t>
      </w:r>
      <w:hyperlink r:id="rId9" w:history="1">
        <w:r w:rsidR="00DA7C4F" w:rsidRPr="00526F2D">
          <w:rPr>
            <w:rStyle w:val="Hyperlink"/>
          </w:rPr>
          <w:t>https://www.in.gov/iurc/files/IURC%20progress%20update%20Jan%202020%20final%20def.pdf</w:t>
        </w:r>
      </w:hyperlink>
      <w:r w:rsidR="00DA7C4F">
        <w:t xml:space="preserve"> .  </w:t>
      </w:r>
    </w:p>
    <w:p w14:paraId="71A2042A" w14:textId="4BCBF7A8" w:rsidR="0042611B" w:rsidRDefault="00684860" w:rsidP="0042611B">
      <w:pPr>
        <w:pStyle w:val="ListParagraph"/>
        <w:numPr>
          <w:ilvl w:val="0"/>
          <w:numId w:val="4"/>
        </w:numPr>
        <w:spacing w:after="0"/>
      </w:pPr>
      <w:r>
        <w:t xml:space="preserve">There is also the matter of </w:t>
      </w:r>
      <w:r w:rsidR="00513EE0">
        <w:t xml:space="preserve">the specific </w:t>
      </w:r>
      <w:r>
        <w:t xml:space="preserve">location </w:t>
      </w:r>
      <w:r w:rsidR="0042611B">
        <w:t xml:space="preserve">on the distribution or transmission grid of </w:t>
      </w:r>
      <w:r w:rsidR="00366DAB">
        <w:t xml:space="preserve">the proposed facilities </w:t>
      </w:r>
      <w:r w:rsidR="00FF4C2F">
        <w:t>as it relates to</w:t>
      </w:r>
      <w:r w:rsidR="00366DAB">
        <w:t xml:space="preserve"> properly identifying and quantifying the “avoided costs” which define their economic value</w:t>
      </w:r>
      <w:r w:rsidR="00D232EA">
        <w:t xml:space="preserve"> to </w:t>
      </w:r>
      <w:r w:rsidR="00EF5C8E">
        <w:t>the electrical system as a whole</w:t>
      </w:r>
      <w:r w:rsidR="0042611B">
        <w:t xml:space="preserve"> within the PURPA context</w:t>
      </w:r>
      <w:r w:rsidR="00AF3079">
        <w:t xml:space="preserve">.  </w:t>
      </w:r>
      <w:r w:rsidR="00FF4C2F">
        <w:t xml:space="preserve"> The billions of dollars now being requested by utilities and approved by the Commission for tracked Transmission and Distribution System Improvement Charges (TDSIC) underlines in bold the huge and increasing significance of such costs.</w:t>
      </w:r>
    </w:p>
    <w:p w14:paraId="1F7A42E5" w14:textId="3BE97D01" w:rsidR="0042611B" w:rsidRDefault="0042611B" w:rsidP="0042611B">
      <w:pPr>
        <w:pStyle w:val="ListParagraph"/>
        <w:numPr>
          <w:ilvl w:val="0"/>
          <w:numId w:val="4"/>
        </w:numPr>
        <w:spacing w:after="0"/>
      </w:pPr>
      <w:r>
        <w:t xml:space="preserve">Further, the particular generation technology planned for the proposed facilities also matters with respect to the identification and quantification of the “avoided costs” which </w:t>
      </w:r>
      <w:r>
        <w:lastRenderedPageBreak/>
        <w:t>define their economic value to the electrical system as a whole with the PURPA context, e.g. avoided</w:t>
      </w:r>
      <w:r w:rsidR="001A1E79">
        <w:t xml:space="preserve"> CO2</w:t>
      </w:r>
      <w:r>
        <w:t xml:space="preserve"> emissions costs.</w:t>
      </w:r>
    </w:p>
    <w:p w14:paraId="0CA650B0" w14:textId="25D3DF5F" w:rsidR="0042611B" w:rsidRDefault="00AF3079" w:rsidP="0042611B">
      <w:pPr>
        <w:pStyle w:val="ListParagraph"/>
        <w:numPr>
          <w:ilvl w:val="0"/>
          <w:numId w:val="4"/>
        </w:numPr>
        <w:spacing w:after="0"/>
      </w:pPr>
      <w:r>
        <w:t xml:space="preserve">Additionally, there is the matter of whether the </w:t>
      </w:r>
      <w:r w:rsidR="00D20ADF">
        <w:t xml:space="preserve">proposed </w:t>
      </w:r>
      <w:r>
        <w:t xml:space="preserve">facilities may offer storage and ancillary services in addition to </w:t>
      </w:r>
      <w:r w:rsidR="007C32F2">
        <w:t>energy and capacity</w:t>
      </w:r>
      <w:r w:rsidR="00D20ADF">
        <w:t xml:space="preserve"> of economic value to the grid</w:t>
      </w:r>
      <w:r w:rsidR="00A86696">
        <w:t xml:space="preserve">.  </w:t>
      </w:r>
    </w:p>
    <w:p w14:paraId="13AE6A77" w14:textId="77777777" w:rsidR="009621DD" w:rsidRDefault="00A86696" w:rsidP="0042611B">
      <w:pPr>
        <w:pStyle w:val="ListParagraph"/>
        <w:numPr>
          <w:ilvl w:val="0"/>
          <w:numId w:val="4"/>
        </w:numPr>
        <w:spacing w:after="0"/>
      </w:pPr>
      <w:r>
        <w:t>Then, too, there is the matter of the</w:t>
      </w:r>
      <w:r w:rsidR="0007490F">
        <w:t xml:space="preserve"> differing</w:t>
      </w:r>
      <w:r>
        <w:t xml:space="preserve"> generation profile</w:t>
      </w:r>
      <w:r w:rsidR="0007490F">
        <w:t xml:space="preserve"> of the proposed facilities in relation to time-of-day and time-of-year as affecting their economic value to the larger grid.</w:t>
      </w:r>
      <w:r w:rsidR="004B0B36">
        <w:t xml:space="preserve"> </w:t>
      </w:r>
    </w:p>
    <w:p w14:paraId="4E519484" w14:textId="77777777" w:rsidR="009621DD" w:rsidRDefault="009621DD" w:rsidP="009621DD">
      <w:pPr>
        <w:pStyle w:val="ListParagraph"/>
        <w:spacing w:after="0"/>
        <w:ind w:left="1080"/>
      </w:pPr>
    </w:p>
    <w:p w14:paraId="01078A70" w14:textId="5FCD7239" w:rsidR="00EA1B28" w:rsidRDefault="003C3395" w:rsidP="00B452DE">
      <w:pPr>
        <w:pStyle w:val="ListParagraph"/>
        <w:spacing w:after="0"/>
        <w:ind w:left="0"/>
      </w:pPr>
      <w:r>
        <w:t>SI submits that assessing whether all of Vectren’s current and pro</w:t>
      </w:r>
      <w:r w:rsidR="00252F6B">
        <w:t>spective</w:t>
      </w:r>
      <w:r>
        <w:t xml:space="preserve"> PURPA tariff offerings</w:t>
      </w:r>
      <w:r w:rsidR="00252F6B">
        <w:t>,</w:t>
      </w:r>
      <w:r>
        <w:t xml:space="preserve"> in combination, address</w:t>
      </w:r>
      <w:r w:rsidR="004B0B36">
        <w:t xml:space="preserve"> these </w:t>
      </w:r>
      <w:r w:rsidR="00563FB6">
        <w:t xml:space="preserve">various </w:t>
      </w:r>
      <w:r w:rsidR="004B0B36">
        <w:t xml:space="preserve">considerations </w:t>
      </w:r>
      <w:r w:rsidR="00563FB6">
        <w:t xml:space="preserve">sufficiently </w:t>
      </w:r>
      <w:r>
        <w:t xml:space="preserve">to comply with PURPA’s goals and standards </w:t>
      </w:r>
      <w:r w:rsidR="004B0B36">
        <w:t xml:space="preserve">would be best-served by </w:t>
      </w:r>
      <w:r>
        <w:t>the</w:t>
      </w:r>
      <w:r w:rsidR="004B0B36">
        <w:t xml:space="preserve"> consolidated proceeding urged by SI.</w:t>
      </w:r>
    </w:p>
    <w:p w14:paraId="740BB998" w14:textId="77777777" w:rsidR="009621DD" w:rsidRDefault="009621DD" w:rsidP="009621DD">
      <w:pPr>
        <w:pStyle w:val="ListParagraph"/>
        <w:spacing w:after="0"/>
        <w:ind w:left="1080"/>
      </w:pPr>
    </w:p>
    <w:p w14:paraId="44CB73AB" w14:textId="1BFDDAC8" w:rsidR="003C3395" w:rsidRDefault="00C24CED" w:rsidP="009621DD">
      <w:pPr>
        <w:pStyle w:val="ListParagraph"/>
        <w:numPr>
          <w:ilvl w:val="0"/>
          <w:numId w:val="2"/>
        </w:numPr>
        <w:spacing w:after="0"/>
        <w:ind w:left="0" w:firstLine="360"/>
      </w:pPr>
      <w:r>
        <w:t>While t</w:t>
      </w:r>
      <w:r w:rsidR="004B0B36">
        <w:t xml:space="preserve">he Commission’s own rules implementing PURPA have </w:t>
      </w:r>
      <w:r>
        <w:t xml:space="preserve">been procedurally readopted several times, they have not been substantively revised </w:t>
      </w:r>
      <w:r w:rsidR="00302A88">
        <w:t xml:space="preserve">in any material respect </w:t>
      </w:r>
      <w:r>
        <w:t>since 1995</w:t>
      </w:r>
      <w:r w:rsidR="00BD6B70">
        <w:t>.  Plainly, the updating of these rules</w:t>
      </w:r>
      <w:r>
        <w:t xml:space="preserve"> in the near-term to account for the </w:t>
      </w:r>
      <w:r w:rsidR="00772438">
        <w:t xml:space="preserve">fundamentally different </w:t>
      </w:r>
      <w:r>
        <w:t>circumstances</w:t>
      </w:r>
      <w:r w:rsidR="00772438">
        <w:t xml:space="preserve"> now</w:t>
      </w:r>
      <w:r>
        <w:t xml:space="preserve"> applicable in the third decade of the 21</w:t>
      </w:r>
      <w:r w:rsidRPr="00C24CED">
        <w:rPr>
          <w:vertAlign w:val="superscript"/>
        </w:rPr>
        <w:t>st</w:t>
      </w:r>
      <w:r>
        <w:t xml:space="preserve"> Century </w:t>
      </w:r>
      <w:r w:rsidR="00772438">
        <w:t>is required and should be undertaken by the Commission</w:t>
      </w:r>
      <w:r w:rsidR="00BD6B70">
        <w:t xml:space="preserve">.  But, </w:t>
      </w:r>
      <w:r w:rsidR="00B452DE">
        <w:t xml:space="preserve">in the meantime, </w:t>
      </w:r>
      <w:r w:rsidR="00BD6B70">
        <w:t>the Commission’s initiation of such a rulemaking would be greatly informed and</w:t>
      </w:r>
      <w:r w:rsidR="00660C6E">
        <w:t xml:space="preserve"> unquestionably</w:t>
      </w:r>
      <w:r w:rsidR="00BD6B70">
        <w:t xml:space="preserve"> facilitated if </w:t>
      </w:r>
      <w:r w:rsidR="00FE5036">
        <w:t>the</w:t>
      </w:r>
      <w:r w:rsidR="00BD6B70">
        <w:t xml:space="preserve"> real market conditions and constraints</w:t>
      </w:r>
      <w:r w:rsidR="00FE5036">
        <w:t xml:space="preserve"> extant today in</w:t>
      </w:r>
      <w:r w:rsidR="00BD6B70">
        <w:t xml:space="preserve"> a compact</w:t>
      </w:r>
      <w:r w:rsidR="00325962">
        <w:t>, relatively small</w:t>
      </w:r>
      <w:r w:rsidR="00BD6B70">
        <w:t xml:space="preserve"> service territory such as Vectren</w:t>
      </w:r>
      <w:r w:rsidR="00325962">
        <w:t xml:space="preserve">’s could serve as a “laboratory” in which the franchised utility and the various </w:t>
      </w:r>
      <w:r w:rsidR="00653692">
        <w:t>other</w:t>
      </w:r>
      <w:r w:rsidR="001A1336">
        <w:t xml:space="preserve"> affected</w:t>
      </w:r>
      <w:r w:rsidR="00653692">
        <w:t xml:space="preserve"> interests</w:t>
      </w:r>
      <w:r w:rsidR="00366DAB">
        <w:t xml:space="preserve"> </w:t>
      </w:r>
      <w:r w:rsidR="00C20AE9">
        <w:t>could present their perspectives, issues and concerns</w:t>
      </w:r>
      <w:r w:rsidR="00416AA4">
        <w:t xml:space="preserve"> relating to PURPA compliance</w:t>
      </w:r>
      <w:r w:rsidR="000A3C2C">
        <w:t xml:space="preserve"> for one another’s as well as the Commission’s consideration</w:t>
      </w:r>
      <w:r w:rsidR="00C20AE9">
        <w:t xml:space="preserve">. </w:t>
      </w:r>
    </w:p>
    <w:p w14:paraId="22975BDD" w14:textId="7CB848BD" w:rsidR="00F26532" w:rsidRDefault="00C20AE9" w:rsidP="003C3395">
      <w:pPr>
        <w:pStyle w:val="ListParagraph"/>
        <w:spacing w:after="0"/>
        <w:ind w:left="360"/>
      </w:pPr>
      <w:r>
        <w:t xml:space="preserve"> </w:t>
      </w:r>
    </w:p>
    <w:p w14:paraId="42749B75" w14:textId="078FC13B" w:rsidR="00EF0901" w:rsidRDefault="00C20AE9" w:rsidP="009621DD">
      <w:pPr>
        <w:pStyle w:val="ListParagraph"/>
        <w:numPr>
          <w:ilvl w:val="0"/>
          <w:numId w:val="2"/>
        </w:numPr>
        <w:spacing w:after="0"/>
        <w:ind w:left="0" w:firstLine="360"/>
      </w:pPr>
      <w:r>
        <w:t>Indeed,</w:t>
      </w:r>
      <w:r w:rsidR="00602CF2">
        <w:t xml:space="preserve"> Vectren’s service territory would provide an especially instructive “laboratory” for </w:t>
      </w:r>
      <w:r w:rsidR="004C2C34">
        <w:t xml:space="preserve">identifying, articulating and </w:t>
      </w:r>
      <w:r w:rsidR="00602CF2">
        <w:t>balancing the various interests</w:t>
      </w:r>
      <w:r w:rsidR="004F582E">
        <w:t xml:space="preserve"> and considerations</w:t>
      </w:r>
      <w:r w:rsidR="00602CF2">
        <w:t xml:space="preserve"> involved inasmuch as Vectren has an affiliated energy services company (Energy Systems Group) competing within its service territory </w:t>
      </w:r>
      <w:r w:rsidR="00CA78AB">
        <w:t>with unaffiliated vendors and suppliers of alternate energy</w:t>
      </w:r>
      <w:r w:rsidR="0047762C">
        <w:t xml:space="preserve"> resources.  </w:t>
      </w:r>
      <w:r w:rsidR="003A3825">
        <w:t>Vectren</w:t>
      </w:r>
      <w:r w:rsidR="0047762C">
        <w:t xml:space="preserve"> also has</w:t>
      </w:r>
      <w:r w:rsidR="003A3825">
        <w:t xml:space="preserve"> another affiliate (Ohio Valley Electric Company) with which it has a purchased power agreement which, </w:t>
      </w:r>
      <w:r w:rsidR="00015AD3">
        <w:t xml:space="preserve">for the </w:t>
      </w:r>
      <w:r w:rsidR="003A3825">
        <w:t>2019</w:t>
      </w:r>
      <w:r w:rsidR="00015AD3">
        <w:t xml:space="preserve"> calendar year,</w:t>
      </w:r>
      <w:r w:rsidR="003A3825">
        <w:t xml:space="preserve"> required it to buy </w:t>
      </w:r>
      <w:r w:rsidR="00EE3187">
        <w:t>an amount of</w:t>
      </w:r>
      <w:r w:rsidR="004C313B">
        <w:t xml:space="preserve"> fossil fuel</w:t>
      </w:r>
      <w:r w:rsidR="00EE3187">
        <w:t xml:space="preserve"> power allocated to it by the affiliate</w:t>
      </w:r>
      <w:r w:rsidR="003A3825">
        <w:t xml:space="preserve"> at </w:t>
      </w:r>
      <w:r w:rsidR="004C313B">
        <w:t>its</w:t>
      </w:r>
      <w:r w:rsidR="00CF6F30">
        <w:t xml:space="preserve"> fully</w:t>
      </w:r>
      <w:r w:rsidR="004C313B">
        <w:t xml:space="preserve"> embedded</w:t>
      </w:r>
      <w:r w:rsidR="00CF6F30">
        <w:t xml:space="preserve"> cost</w:t>
      </w:r>
      <w:r w:rsidR="003A3825">
        <w:t xml:space="preserve"> averaging 6.5 cents per kwh</w:t>
      </w:r>
      <w:r w:rsidR="0047762C">
        <w:t xml:space="preserve"> </w:t>
      </w:r>
      <w:r w:rsidR="00F26532">
        <w:t xml:space="preserve">– </w:t>
      </w:r>
      <w:r w:rsidR="004C313B">
        <w:t>a</w:t>
      </w:r>
      <w:r w:rsidR="004D5658">
        <w:t xml:space="preserve"> most </w:t>
      </w:r>
      <w:r w:rsidR="004C313B">
        <w:t xml:space="preserve">interesting comparison to what Vectren is citing as its “avoided cost” </w:t>
      </w:r>
      <w:r w:rsidR="008829CE">
        <w:t>in relation to Rates CSP and EDG</w:t>
      </w:r>
      <w:r w:rsidR="00D16222">
        <w:t>.  Moreover, as Vectren</w:t>
      </w:r>
      <w:r w:rsidR="00994048">
        <w:t xml:space="preserve"> itself</w:t>
      </w:r>
      <w:r w:rsidR="00D16222">
        <w:t xml:space="preserve"> states in its Filing No. 50332, it </w:t>
      </w:r>
      <w:r w:rsidR="009B0189">
        <w:t xml:space="preserve">now </w:t>
      </w:r>
      <w:r w:rsidR="00D16222">
        <w:t xml:space="preserve">has a customer to which it wishes to offer an “additional” standard form of contract different from the one it has used for many years and offered again this year to other </w:t>
      </w:r>
      <w:proofErr w:type="spellStart"/>
      <w:r w:rsidR="004C2C34">
        <w:t>cogenerators</w:t>
      </w:r>
      <w:proofErr w:type="spellEnd"/>
      <w:r w:rsidR="004C2C34">
        <w:t xml:space="preserve"> and alternate energy </w:t>
      </w:r>
      <w:r w:rsidR="00CB3043">
        <w:t>generators.</w:t>
      </w:r>
      <w:r w:rsidR="00D16222">
        <w:t xml:space="preserve">  Of course, </w:t>
      </w:r>
      <w:r w:rsidR="00CB3043">
        <w:t xml:space="preserve">to be </w:t>
      </w:r>
      <w:r w:rsidR="00D16222">
        <w:t>PURPA-compliant</w:t>
      </w:r>
      <w:r w:rsidR="00CB3043">
        <w:t>,</w:t>
      </w:r>
      <w:r w:rsidR="00D16222">
        <w:t xml:space="preserve"> rates and other tariff terms and conditions must be </w:t>
      </w:r>
      <w:r w:rsidR="009B0189">
        <w:t xml:space="preserve">both </w:t>
      </w:r>
      <w:r w:rsidR="00D16222">
        <w:t xml:space="preserve">non-preferential and non-discriminatory in relation to </w:t>
      </w:r>
      <w:r w:rsidR="00D608B1">
        <w:t xml:space="preserve">qualifying facilities and entities. </w:t>
      </w:r>
      <w:r w:rsidR="0018580E">
        <w:t xml:space="preserve"> </w:t>
      </w:r>
      <w:r w:rsidR="00D608B1">
        <w:t>18 CFR</w:t>
      </w:r>
      <w:r w:rsidR="008160BA">
        <w:t xml:space="preserve"> </w:t>
      </w:r>
      <w:r w:rsidR="00D608B1" w:rsidRPr="00D608B1">
        <w:t>§ 292.304</w:t>
      </w:r>
      <w:r w:rsidR="008160BA">
        <w:t>(a)</w:t>
      </w:r>
      <w:r w:rsidR="0018580E">
        <w:t>(1)</w:t>
      </w:r>
      <w:r w:rsidR="008160BA">
        <w:t>(ii)</w:t>
      </w:r>
      <w:r w:rsidR="0018580E">
        <w:t>.</w:t>
      </w:r>
      <w:r w:rsidR="00D608B1">
        <w:t xml:space="preserve"> </w:t>
      </w:r>
    </w:p>
    <w:p w14:paraId="7B242B3D" w14:textId="64291803" w:rsidR="002B1F16" w:rsidRDefault="002B1F16" w:rsidP="002B1F16">
      <w:pPr>
        <w:pStyle w:val="ListParagraph"/>
        <w:spacing w:after="0"/>
        <w:ind w:left="360"/>
      </w:pPr>
    </w:p>
    <w:p w14:paraId="79E82696" w14:textId="4647862F" w:rsidR="004B113B" w:rsidRDefault="00C71090" w:rsidP="00C71090">
      <w:pPr>
        <w:pStyle w:val="ListParagraph"/>
        <w:spacing w:after="0"/>
        <w:ind w:left="0" w:firstLine="360"/>
      </w:pPr>
      <w:r>
        <w:t xml:space="preserve">8.  </w:t>
      </w:r>
      <w:r w:rsidR="004B113B">
        <w:t xml:space="preserve">SI </w:t>
      </w:r>
      <w:r w:rsidR="00567FF9">
        <w:t xml:space="preserve">also </w:t>
      </w:r>
      <w:r w:rsidR="004B113B">
        <w:t>joins the specific Objection of the OUCC to Vectren’s 50331 30-Day Filing</w:t>
      </w:r>
      <w:r w:rsidR="00ED27CA">
        <w:t xml:space="preserve"> for its failure to comply with one aspect of the Commission’s current, outdated rules</w:t>
      </w:r>
      <w:r w:rsidR="004B113B">
        <w:t xml:space="preserve">.  </w:t>
      </w:r>
      <w:r>
        <w:t xml:space="preserve">SI does not take a position </w:t>
      </w:r>
      <w:r w:rsidR="00994048">
        <w:t xml:space="preserve">at this time </w:t>
      </w:r>
      <w:r>
        <w:t>with respect to the OUCC’s Objections to the 30-Day Filings</w:t>
      </w:r>
      <w:r w:rsidR="00B566C5">
        <w:t xml:space="preserve"> </w:t>
      </w:r>
      <w:r w:rsidR="00994048">
        <w:t xml:space="preserve">of utilities other than Vectren.  This </w:t>
      </w:r>
      <w:r w:rsidR="00D20ADF">
        <w:t>choice</w:t>
      </w:r>
      <w:r w:rsidR="00994048">
        <w:t xml:space="preserve"> by SI should not be construed as either support for or opposition to the OUCC’s Objections regarding these other filings, but </w:t>
      </w:r>
      <w:r w:rsidR="00ED27CA">
        <w:t>instead understood</w:t>
      </w:r>
      <w:r w:rsidR="00994048">
        <w:t xml:space="preserve"> as SI defining its interests to focus narrowly</w:t>
      </w:r>
      <w:r w:rsidR="008242D1">
        <w:t xml:space="preserve"> at this time</w:t>
      </w:r>
      <w:r w:rsidR="00994048">
        <w:t xml:space="preserve"> on Vectren’s existing and prospective</w:t>
      </w:r>
      <w:r w:rsidR="00274E0F">
        <w:t xml:space="preserve"> set of</w:t>
      </w:r>
      <w:r w:rsidR="00994048">
        <w:t xml:space="preserve"> PURPA rates</w:t>
      </w:r>
      <w:r w:rsidR="008242D1">
        <w:t>, standard contracts,</w:t>
      </w:r>
      <w:r w:rsidR="00994048">
        <w:t xml:space="preserve"> and other terms and conditions of service for the reasons </w:t>
      </w:r>
      <w:r w:rsidR="00D20ADF">
        <w:t xml:space="preserve">and purposes </w:t>
      </w:r>
      <w:r w:rsidR="00994048">
        <w:t>described above.</w:t>
      </w:r>
      <w:r w:rsidR="008E78BB">
        <w:t xml:space="preserve">  </w:t>
      </w:r>
    </w:p>
    <w:p w14:paraId="2FE52D23" w14:textId="77777777" w:rsidR="004B113B" w:rsidRDefault="004B113B" w:rsidP="00C71090">
      <w:pPr>
        <w:pStyle w:val="ListParagraph"/>
        <w:spacing w:after="0"/>
        <w:ind w:left="0" w:firstLine="360"/>
      </w:pPr>
    </w:p>
    <w:p w14:paraId="178B218E" w14:textId="1C44B002" w:rsidR="002B1F16" w:rsidRDefault="004B113B" w:rsidP="00C71090">
      <w:pPr>
        <w:pStyle w:val="ListParagraph"/>
        <w:spacing w:after="0"/>
        <w:ind w:left="0" w:firstLine="360"/>
      </w:pPr>
      <w:r>
        <w:lastRenderedPageBreak/>
        <w:t xml:space="preserve">9.  </w:t>
      </w:r>
      <w:r w:rsidR="008E78BB">
        <w:t xml:space="preserve">Additionally, SI asserts that the OUCC’s </w:t>
      </w:r>
      <w:r w:rsidR="00096A36">
        <w:t xml:space="preserve">Amended </w:t>
      </w:r>
      <w:r w:rsidR="008E78BB">
        <w:t xml:space="preserve">Objection to Vectren’s Filing in 50331 should </w:t>
      </w:r>
      <w:r w:rsidR="00D50E79">
        <w:t xml:space="preserve">be </w:t>
      </w:r>
      <w:r w:rsidR="00B24C03">
        <w:t>read</w:t>
      </w:r>
      <w:r w:rsidR="00D50E79">
        <w:t xml:space="preserve"> to</w:t>
      </w:r>
      <w:r w:rsidR="008E78BB">
        <w:t xml:space="preserve"> apply to Filing 50332</w:t>
      </w:r>
      <w:r w:rsidR="00F96F2C">
        <w:t xml:space="preserve"> </w:t>
      </w:r>
      <w:r w:rsidR="001835C3">
        <w:t xml:space="preserve">as well </w:t>
      </w:r>
      <w:r w:rsidR="00F96F2C">
        <w:t>because the two filings are inextricably intertwined</w:t>
      </w:r>
      <w:r w:rsidR="00096A36">
        <w:t xml:space="preserve"> </w:t>
      </w:r>
      <w:r w:rsidR="00D20ADF">
        <w:t>with respect to</w:t>
      </w:r>
      <w:r w:rsidR="00D50E79">
        <w:t xml:space="preserve"> the substance of</w:t>
      </w:r>
      <w:r w:rsidR="00096A36">
        <w:t xml:space="preserve"> the OUCC Objection.</w:t>
      </w:r>
      <w:r>
        <w:t xml:space="preserve">  In the event the OUCC demurs from this interpretation of its Objection, SI asserts</w:t>
      </w:r>
      <w:r w:rsidR="00B24C03">
        <w:t xml:space="preserve"> as its own</w:t>
      </w:r>
      <w:r>
        <w:t xml:space="preserve"> this same Objection to Filing 50332.</w:t>
      </w:r>
    </w:p>
    <w:p w14:paraId="4A56A040" w14:textId="77777777" w:rsidR="00E66633" w:rsidRDefault="00E66633" w:rsidP="00EE497A">
      <w:pPr>
        <w:spacing w:after="0"/>
        <w:ind w:firstLine="360"/>
      </w:pPr>
    </w:p>
    <w:p w14:paraId="0BCE0D67" w14:textId="2151D0D8" w:rsidR="003E77C8" w:rsidRDefault="00994048" w:rsidP="003E77C8">
      <w:pPr>
        <w:spacing w:after="0"/>
      </w:pPr>
      <w:r>
        <w:t>Respectfully submitted,</w:t>
      </w:r>
    </w:p>
    <w:p w14:paraId="5AC5C349" w14:textId="6FE1B909" w:rsidR="00994048" w:rsidRDefault="00994048" w:rsidP="003E77C8">
      <w:pPr>
        <w:spacing w:after="0"/>
      </w:pPr>
    </w:p>
    <w:p w14:paraId="67A3D5F6" w14:textId="209E07F9" w:rsidR="007356E2" w:rsidRDefault="007356E2" w:rsidP="003E77C8">
      <w:pPr>
        <w:spacing w:after="0"/>
      </w:pPr>
      <w:r>
        <w:t>/s/ Russell Ellis</w:t>
      </w:r>
    </w:p>
    <w:p w14:paraId="135435BB" w14:textId="77777777" w:rsidR="007356E2" w:rsidRDefault="007356E2" w:rsidP="003E77C8">
      <w:pPr>
        <w:spacing w:after="0"/>
      </w:pPr>
    </w:p>
    <w:p w14:paraId="41846F3A" w14:textId="3F660D05" w:rsidR="00994048" w:rsidRDefault="00994048" w:rsidP="003E77C8">
      <w:pPr>
        <w:spacing w:after="0"/>
      </w:pPr>
      <w:r>
        <w:t>Russell Ellis, Counsel</w:t>
      </w:r>
    </w:p>
    <w:p w14:paraId="490E440B" w14:textId="1B67C2DB" w:rsidR="00994048" w:rsidRDefault="00994048" w:rsidP="003E77C8">
      <w:pPr>
        <w:spacing w:after="0"/>
      </w:pPr>
      <w:r>
        <w:t>Solarize Indiana, Inc.</w:t>
      </w:r>
    </w:p>
    <w:p w14:paraId="76AB10DD" w14:textId="2E75F852" w:rsidR="00C8722E" w:rsidRDefault="00502556" w:rsidP="003E77C8">
      <w:pPr>
        <w:spacing w:after="0"/>
      </w:pPr>
      <w:hyperlink r:id="rId10" w:history="1">
        <w:r w:rsidR="00C8722E" w:rsidRPr="00526F2D">
          <w:rPr>
            <w:rStyle w:val="Hyperlink"/>
          </w:rPr>
          <w:t>russell_ellis@sbcglobal.net</w:t>
        </w:r>
      </w:hyperlink>
      <w:r w:rsidR="00C8722E">
        <w:t xml:space="preserve"> </w:t>
      </w:r>
    </w:p>
    <w:p w14:paraId="01A3A905" w14:textId="7E97E7E0" w:rsidR="00447240" w:rsidRDefault="00447240" w:rsidP="003E77C8">
      <w:pPr>
        <w:spacing w:after="0"/>
      </w:pPr>
    </w:p>
    <w:p w14:paraId="6D1A7D56" w14:textId="77777777" w:rsidR="005565FC" w:rsidRDefault="005565FC" w:rsidP="003E77C8">
      <w:pPr>
        <w:spacing w:after="0"/>
      </w:pPr>
    </w:p>
    <w:p w14:paraId="24A76C05" w14:textId="42F5DC8A" w:rsidR="00447240" w:rsidRDefault="00447240" w:rsidP="003E77C8">
      <w:pPr>
        <w:spacing w:after="0"/>
      </w:pPr>
      <w:r>
        <w:t>Cc (</w:t>
      </w:r>
      <w:r>
        <w:rPr>
          <w:i/>
          <w:iCs/>
        </w:rPr>
        <w:t>via electronic mail</w:t>
      </w:r>
      <w:r>
        <w:t>):</w:t>
      </w:r>
    </w:p>
    <w:p w14:paraId="233A727B" w14:textId="77777777" w:rsidR="00B94775" w:rsidRDefault="00B94775" w:rsidP="00A12211">
      <w:pPr>
        <w:spacing w:after="0"/>
      </w:pPr>
    </w:p>
    <w:p w14:paraId="63895DF7" w14:textId="6BFCB501" w:rsidR="008D4944" w:rsidRDefault="00502556" w:rsidP="00A12211">
      <w:pPr>
        <w:spacing w:after="0"/>
      </w:pPr>
      <w:hyperlink r:id="rId11" w:history="1">
        <w:r w:rsidR="00B94775" w:rsidRPr="00526F2D">
          <w:rPr>
            <w:rStyle w:val="Hyperlink"/>
          </w:rPr>
          <w:t>mullettgen@aol.com</w:t>
        </w:r>
      </w:hyperlink>
      <w:r w:rsidR="00B94775">
        <w:t xml:space="preserve">; </w:t>
      </w:r>
      <w:hyperlink r:id="rId12" w:history="1">
        <w:r w:rsidR="00B94775" w:rsidRPr="00526F2D">
          <w:rPr>
            <w:rStyle w:val="Hyperlink"/>
          </w:rPr>
          <w:t>barry.s.kastner@gmail.com</w:t>
        </w:r>
      </w:hyperlink>
      <w:r w:rsidR="00B94775">
        <w:t xml:space="preserve">; </w:t>
      </w:r>
      <w:hyperlink r:id="rId13" w:history="1">
        <w:r w:rsidR="009B17DD" w:rsidRPr="00B51187">
          <w:rPr>
            <w:rStyle w:val="Hyperlink"/>
          </w:rPr>
          <w:t>JSteinhauer@urc.IN.gov</w:t>
        </w:r>
      </w:hyperlink>
      <w:r w:rsidR="0045156B">
        <w:t xml:space="preserve">; </w:t>
      </w:r>
      <w:hyperlink r:id="rId14" w:history="1">
        <w:r w:rsidR="00B94775" w:rsidRPr="00526F2D">
          <w:rPr>
            <w:rStyle w:val="Hyperlink"/>
          </w:rPr>
          <w:t>BHeline@urc.IN.gov</w:t>
        </w:r>
      </w:hyperlink>
      <w:r w:rsidR="00B94775">
        <w:t xml:space="preserve">; </w:t>
      </w:r>
      <w:hyperlink r:id="rId15" w:history="1">
        <w:r w:rsidR="00B94775" w:rsidRPr="00526F2D">
          <w:rPr>
            <w:rStyle w:val="Hyperlink"/>
          </w:rPr>
          <w:t>jwashburn@citact.org</w:t>
        </w:r>
      </w:hyperlink>
      <w:r w:rsidR="00B94775">
        <w:t xml:space="preserve">; </w:t>
      </w:r>
      <w:hyperlink r:id="rId16" w:history="1">
        <w:r w:rsidR="00A7154D" w:rsidRPr="00526F2D">
          <w:rPr>
            <w:rStyle w:val="Hyperlink"/>
          </w:rPr>
          <w:t>will@votesolar.com</w:t>
        </w:r>
      </w:hyperlink>
      <w:r w:rsidR="00A7154D">
        <w:t xml:space="preserve">; </w:t>
      </w:r>
      <w:hyperlink r:id="rId17" w:history="1">
        <w:r w:rsidR="00C8722E" w:rsidRPr="00526F2D">
          <w:rPr>
            <w:rStyle w:val="Hyperlink"/>
          </w:rPr>
          <w:t>bklein@elpc.org</w:t>
        </w:r>
      </w:hyperlink>
      <w:r w:rsidR="00C8722E">
        <w:t xml:space="preserve">; </w:t>
      </w:r>
      <w:hyperlink r:id="rId18" w:history="1">
        <w:r w:rsidR="00F029FC" w:rsidRPr="00526F2D">
          <w:rPr>
            <w:rStyle w:val="Hyperlink"/>
          </w:rPr>
          <w:t>laura.arnold@indianadg.net</w:t>
        </w:r>
      </w:hyperlink>
      <w:r w:rsidR="00F029FC">
        <w:t xml:space="preserve">; </w:t>
      </w:r>
      <w:hyperlink r:id="rId19" w:history="1">
        <w:r w:rsidR="00754BD0" w:rsidRPr="00526F2D">
          <w:rPr>
            <w:rStyle w:val="Hyperlink"/>
          </w:rPr>
          <w:t xml:space="preserve">bmorton@mortonsolar.com; </w:t>
        </w:r>
        <w:r w:rsidR="00754BD0" w:rsidRPr="00754BD0">
          <w:rPr>
            <w:rStyle w:val="Hyperlink"/>
          </w:rPr>
          <w:t xml:space="preserve">LHitzBradley@oucc.IN.gov; </w:t>
        </w:r>
        <w:r w:rsidR="00754BD0" w:rsidRPr="00526F2D">
          <w:rPr>
            <w:rStyle w:val="Hyperlink"/>
          </w:rPr>
          <w:t>Cas.Swiz@centerpointenergy.com</w:t>
        </w:r>
      </w:hyperlink>
      <w:r w:rsidR="008D4944" w:rsidRPr="008D4944">
        <w:t>;</w:t>
      </w:r>
      <w:r w:rsidR="0087574F">
        <w:t xml:space="preserve"> </w:t>
      </w:r>
      <w:hyperlink r:id="rId20" w:history="1">
        <w:r w:rsidR="00A50266" w:rsidRPr="00526F2D">
          <w:rPr>
            <w:rStyle w:val="Hyperlink"/>
          </w:rPr>
          <w:t>Justin.Hage@centerpointenergy.com</w:t>
        </w:r>
      </w:hyperlink>
    </w:p>
    <w:p w14:paraId="5B5A8B17" w14:textId="09051032" w:rsidR="00447240" w:rsidRDefault="008D4944" w:rsidP="003E77C8">
      <w:pPr>
        <w:spacing w:after="0"/>
      </w:pPr>
      <w:r>
        <w:t xml:space="preserve"> </w:t>
      </w:r>
    </w:p>
    <w:sectPr w:rsidR="00447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D6792"/>
    <w:multiLevelType w:val="hybridMultilevel"/>
    <w:tmpl w:val="A204E3DE"/>
    <w:lvl w:ilvl="0" w:tplc="D2DC03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2DD7B8A"/>
    <w:multiLevelType w:val="hybridMultilevel"/>
    <w:tmpl w:val="2264D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252D4B"/>
    <w:multiLevelType w:val="hybridMultilevel"/>
    <w:tmpl w:val="88E2CD98"/>
    <w:lvl w:ilvl="0" w:tplc="DFD20380">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DBD11E8"/>
    <w:multiLevelType w:val="hybridMultilevel"/>
    <w:tmpl w:val="97480F62"/>
    <w:lvl w:ilvl="0" w:tplc="CE4AA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FD"/>
    <w:rsid w:val="00015AD3"/>
    <w:rsid w:val="00033D92"/>
    <w:rsid w:val="00057337"/>
    <w:rsid w:val="0007490F"/>
    <w:rsid w:val="0009694E"/>
    <w:rsid w:val="00096A36"/>
    <w:rsid w:val="000A3C2C"/>
    <w:rsid w:val="000C4EB5"/>
    <w:rsid w:val="000D2201"/>
    <w:rsid w:val="00114A2F"/>
    <w:rsid w:val="00132972"/>
    <w:rsid w:val="0016089B"/>
    <w:rsid w:val="00172288"/>
    <w:rsid w:val="001835C3"/>
    <w:rsid w:val="0018580E"/>
    <w:rsid w:val="001A1336"/>
    <w:rsid w:val="001A1E79"/>
    <w:rsid w:val="001B5495"/>
    <w:rsid w:val="001D446A"/>
    <w:rsid w:val="00225FCB"/>
    <w:rsid w:val="002407D9"/>
    <w:rsid w:val="0024678E"/>
    <w:rsid w:val="00252F6B"/>
    <w:rsid w:val="00274E0F"/>
    <w:rsid w:val="0029096D"/>
    <w:rsid w:val="002B1F16"/>
    <w:rsid w:val="002B3259"/>
    <w:rsid w:val="002D7336"/>
    <w:rsid w:val="002F6441"/>
    <w:rsid w:val="00302A88"/>
    <w:rsid w:val="00303D41"/>
    <w:rsid w:val="00312ED9"/>
    <w:rsid w:val="00317533"/>
    <w:rsid w:val="00320B6C"/>
    <w:rsid w:val="00325962"/>
    <w:rsid w:val="0034120B"/>
    <w:rsid w:val="0034360F"/>
    <w:rsid w:val="00352655"/>
    <w:rsid w:val="00357DA6"/>
    <w:rsid w:val="00366DAB"/>
    <w:rsid w:val="003734D6"/>
    <w:rsid w:val="00387F29"/>
    <w:rsid w:val="0039692B"/>
    <w:rsid w:val="003A3825"/>
    <w:rsid w:val="003A5979"/>
    <w:rsid w:val="003C3395"/>
    <w:rsid w:val="003E66E5"/>
    <w:rsid w:val="003E77C8"/>
    <w:rsid w:val="00403E49"/>
    <w:rsid w:val="00416AA4"/>
    <w:rsid w:val="00425D12"/>
    <w:rsid w:val="0042611B"/>
    <w:rsid w:val="0044060B"/>
    <w:rsid w:val="00447240"/>
    <w:rsid w:val="0045156B"/>
    <w:rsid w:val="00451AFC"/>
    <w:rsid w:val="00466900"/>
    <w:rsid w:val="004718C5"/>
    <w:rsid w:val="0047762C"/>
    <w:rsid w:val="00485E82"/>
    <w:rsid w:val="004B0B36"/>
    <w:rsid w:val="004B113B"/>
    <w:rsid w:val="004C2C34"/>
    <w:rsid w:val="004C313B"/>
    <w:rsid w:val="004D5658"/>
    <w:rsid w:val="004F582E"/>
    <w:rsid w:val="00502556"/>
    <w:rsid w:val="00505C52"/>
    <w:rsid w:val="00513EE0"/>
    <w:rsid w:val="005565FC"/>
    <w:rsid w:val="00563FB6"/>
    <w:rsid w:val="00564D86"/>
    <w:rsid w:val="00565018"/>
    <w:rsid w:val="00567FF9"/>
    <w:rsid w:val="0059075A"/>
    <w:rsid w:val="0059792D"/>
    <w:rsid w:val="005C7C7E"/>
    <w:rsid w:val="00602CF2"/>
    <w:rsid w:val="00653692"/>
    <w:rsid w:val="00656854"/>
    <w:rsid w:val="00660C6E"/>
    <w:rsid w:val="00684860"/>
    <w:rsid w:val="0069161F"/>
    <w:rsid w:val="006919C1"/>
    <w:rsid w:val="00693415"/>
    <w:rsid w:val="006D2384"/>
    <w:rsid w:val="006D443A"/>
    <w:rsid w:val="006D6684"/>
    <w:rsid w:val="007356E2"/>
    <w:rsid w:val="00754BD0"/>
    <w:rsid w:val="00772438"/>
    <w:rsid w:val="0078189D"/>
    <w:rsid w:val="007941F8"/>
    <w:rsid w:val="00794C02"/>
    <w:rsid w:val="00795735"/>
    <w:rsid w:val="00796B03"/>
    <w:rsid w:val="007C32F2"/>
    <w:rsid w:val="007D1AD5"/>
    <w:rsid w:val="007D3FB8"/>
    <w:rsid w:val="007D755E"/>
    <w:rsid w:val="007E59E3"/>
    <w:rsid w:val="00810A34"/>
    <w:rsid w:val="008124FE"/>
    <w:rsid w:val="008160BA"/>
    <w:rsid w:val="008242D1"/>
    <w:rsid w:val="008304D3"/>
    <w:rsid w:val="0087574F"/>
    <w:rsid w:val="008829CE"/>
    <w:rsid w:val="008B2937"/>
    <w:rsid w:val="008D4944"/>
    <w:rsid w:val="008E10DB"/>
    <w:rsid w:val="008E78BB"/>
    <w:rsid w:val="00900197"/>
    <w:rsid w:val="00925F31"/>
    <w:rsid w:val="00954224"/>
    <w:rsid w:val="009621DD"/>
    <w:rsid w:val="009713A7"/>
    <w:rsid w:val="00977607"/>
    <w:rsid w:val="009904C3"/>
    <w:rsid w:val="00991C2F"/>
    <w:rsid w:val="00994048"/>
    <w:rsid w:val="0099784A"/>
    <w:rsid w:val="009A32F4"/>
    <w:rsid w:val="009A7527"/>
    <w:rsid w:val="009B0189"/>
    <w:rsid w:val="009B17DD"/>
    <w:rsid w:val="009C0BD9"/>
    <w:rsid w:val="009D767E"/>
    <w:rsid w:val="009F43F6"/>
    <w:rsid w:val="00A12211"/>
    <w:rsid w:val="00A14E2C"/>
    <w:rsid w:val="00A32290"/>
    <w:rsid w:val="00A50266"/>
    <w:rsid w:val="00A635FD"/>
    <w:rsid w:val="00A7154D"/>
    <w:rsid w:val="00A82F93"/>
    <w:rsid w:val="00A86696"/>
    <w:rsid w:val="00AA11E0"/>
    <w:rsid w:val="00AD069B"/>
    <w:rsid w:val="00AF3079"/>
    <w:rsid w:val="00B24C03"/>
    <w:rsid w:val="00B36234"/>
    <w:rsid w:val="00B452DE"/>
    <w:rsid w:val="00B566C5"/>
    <w:rsid w:val="00B94775"/>
    <w:rsid w:val="00BA70CE"/>
    <w:rsid w:val="00BB7E01"/>
    <w:rsid w:val="00BD6B70"/>
    <w:rsid w:val="00BE3866"/>
    <w:rsid w:val="00C0408B"/>
    <w:rsid w:val="00C20AE9"/>
    <w:rsid w:val="00C23988"/>
    <w:rsid w:val="00C24CED"/>
    <w:rsid w:val="00C3640C"/>
    <w:rsid w:val="00C4113E"/>
    <w:rsid w:val="00C643DA"/>
    <w:rsid w:val="00C71090"/>
    <w:rsid w:val="00C738C8"/>
    <w:rsid w:val="00C8722E"/>
    <w:rsid w:val="00C94181"/>
    <w:rsid w:val="00CA78AB"/>
    <w:rsid w:val="00CB3043"/>
    <w:rsid w:val="00CF6F30"/>
    <w:rsid w:val="00D026EA"/>
    <w:rsid w:val="00D14A25"/>
    <w:rsid w:val="00D15265"/>
    <w:rsid w:val="00D16222"/>
    <w:rsid w:val="00D20ADF"/>
    <w:rsid w:val="00D232EA"/>
    <w:rsid w:val="00D336B6"/>
    <w:rsid w:val="00D50E79"/>
    <w:rsid w:val="00D608B1"/>
    <w:rsid w:val="00D65D38"/>
    <w:rsid w:val="00D67F63"/>
    <w:rsid w:val="00D96EE0"/>
    <w:rsid w:val="00DA7C4F"/>
    <w:rsid w:val="00DC7049"/>
    <w:rsid w:val="00DE4C32"/>
    <w:rsid w:val="00E26EB9"/>
    <w:rsid w:val="00E31E85"/>
    <w:rsid w:val="00E650BA"/>
    <w:rsid w:val="00E66633"/>
    <w:rsid w:val="00E77437"/>
    <w:rsid w:val="00EA1B28"/>
    <w:rsid w:val="00EB0C6C"/>
    <w:rsid w:val="00EB278E"/>
    <w:rsid w:val="00EB2D81"/>
    <w:rsid w:val="00ED27CA"/>
    <w:rsid w:val="00EE2201"/>
    <w:rsid w:val="00EE3187"/>
    <w:rsid w:val="00EE497A"/>
    <w:rsid w:val="00EF0901"/>
    <w:rsid w:val="00EF56C0"/>
    <w:rsid w:val="00EF5C8E"/>
    <w:rsid w:val="00F029FC"/>
    <w:rsid w:val="00F26532"/>
    <w:rsid w:val="00F4358B"/>
    <w:rsid w:val="00F50F1A"/>
    <w:rsid w:val="00F579DC"/>
    <w:rsid w:val="00F72EEF"/>
    <w:rsid w:val="00F87F7E"/>
    <w:rsid w:val="00F96F2C"/>
    <w:rsid w:val="00FA0439"/>
    <w:rsid w:val="00FA285A"/>
    <w:rsid w:val="00FB562F"/>
    <w:rsid w:val="00FC08E8"/>
    <w:rsid w:val="00FE5036"/>
    <w:rsid w:val="00FF4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F25E93"/>
  <w15:docId w15:val="{B51433DE-F239-40CC-9CEE-42945C80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D86"/>
    <w:pPr>
      <w:ind w:left="720"/>
      <w:contextualSpacing/>
    </w:pPr>
  </w:style>
  <w:style w:type="character" w:styleId="Hyperlink">
    <w:name w:val="Hyperlink"/>
    <w:basedOn w:val="DefaultParagraphFont"/>
    <w:uiPriority w:val="99"/>
    <w:unhideWhenUsed/>
    <w:rsid w:val="00DA7C4F"/>
    <w:rPr>
      <w:color w:val="0563C1" w:themeColor="hyperlink"/>
      <w:u w:val="single"/>
    </w:rPr>
  </w:style>
  <w:style w:type="character" w:customStyle="1" w:styleId="UnresolvedMention">
    <w:name w:val="Unresolved Mention"/>
    <w:basedOn w:val="DefaultParagraphFont"/>
    <w:uiPriority w:val="99"/>
    <w:semiHidden/>
    <w:unhideWhenUsed/>
    <w:rsid w:val="00DA7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cerra@urc.IN.gov" TargetMode="External"/><Relationship Id="rId13" Type="http://schemas.openxmlformats.org/officeDocument/2006/relationships/hyperlink" Target="mailto:JSteinhauer@urc.IN.gov" TargetMode="External"/><Relationship Id="rId18" Type="http://schemas.openxmlformats.org/officeDocument/2006/relationships/hyperlink" Target="mailto:laura.arnold@indianadg.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barry.s.kastner@gmail.com" TargetMode="External"/><Relationship Id="rId17" Type="http://schemas.openxmlformats.org/officeDocument/2006/relationships/hyperlink" Target="mailto:bklein@elpc.org" TargetMode="External"/><Relationship Id="rId2" Type="http://schemas.openxmlformats.org/officeDocument/2006/relationships/customXml" Target="../customXml/item2.xml"/><Relationship Id="rId16" Type="http://schemas.openxmlformats.org/officeDocument/2006/relationships/hyperlink" Target="mailto:will@votesolar.com" TargetMode="External"/><Relationship Id="rId20" Type="http://schemas.openxmlformats.org/officeDocument/2006/relationships/hyperlink" Target="mailto:Justin.Hage@centerpointenergy.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ullettgen@aol.com" TargetMode="External"/><Relationship Id="rId5" Type="http://schemas.openxmlformats.org/officeDocument/2006/relationships/styles" Target="styles.xml"/><Relationship Id="rId15" Type="http://schemas.openxmlformats.org/officeDocument/2006/relationships/hyperlink" Target="mailto:jwashburn@citact.org" TargetMode="External"/><Relationship Id="rId10" Type="http://schemas.openxmlformats.org/officeDocument/2006/relationships/hyperlink" Target="mailto:russell_ellis@sbcglobal.net" TargetMode="External"/><Relationship Id="rId19" Type="http://schemas.openxmlformats.org/officeDocument/2006/relationships/hyperlink" Target="mailto:bmorton@mortonsolar.com;%20Cas.Swiz@centerpointenergy.com" TargetMode="External"/><Relationship Id="rId4" Type="http://schemas.openxmlformats.org/officeDocument/2006/relationships/numbering" Target="numbering.xml"/><Relationship Id="rId9" Type="http://schemas.openxmlformats.org/officeDocument/2006/relationships/hyperlink" Target="https://www.in.gov/iurc/files/IURC%20progress%20update%20Jan%202020%20final%20def.pdf" TargetMode="External"/><Relationship Id="rId14" Type="http://schemas.openxmlformats.org/officeDocument/2006/relationships/hyperlink" Target="mailto:BHeline@urc.IN.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DF2690EBBDE42A9BA369ACFF549A6" ma:contentTypeVersion="10" ma:contentTypeDescription="Create a new document." ma:contentTypeScope="" ma:versionID="94b76b2550613fc26baaf5c5b2086aac">
  <xsd:schema xmlns:xsd="http://www.w3.org/2001/XMLSchema" xmlns:xs="http://www.w3.org/2001/XMLSchema" xmlns:p="http://schemas.microsoft.com/office/2006/metadata/properties" xmlns:ns3="92893e83-51e3-4d20-b3ae-0f5a787d0982" targetNamespace="http://schemas.microsoft.com/office/2006/metadata/properties" ma:root="true" ma:fieldsID="f67a4958fd26933b18d98e98dc7c365f" ns3:_="">
    <xsd:import namespace="92893e83-51e3-4d20-b3ae-0f5a787d09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93e83-51e3-4d20-b3ae-0f5a787d0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8FBC1-3AAE-4603-8719-3CAC018B2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93e83-51e3-4d20-b3ae-0f5a787d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D62058-232E-4D12-A4EF-71F7435FB1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219E33-B83B-44BE-9943-256197A5E2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 Mullett</dc:creator>
  <cp:keywords/>
  <dc:description/>
  <cp:lastModifiedBy>Owner</cp:lastModifiedBy>
  <cp:revision>2</cp:revision>
  <dcterms:created xsi:type="dcterms:W3CDTF">2020-04-24T21:23:00Z</dcterms:created>
  <dcterms:modified xsi:type="dcterms:W3CDTF">2020-04-24T21:23:00Z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0x010100E3FDF2690EBBDE42A9BA369ACFF549A6</vt:lpwstr>
  </property>
</Properties>
</file>